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推荐系统在各行各业中的应用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推荐系统，在POI推荐中的应用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19145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1.2.1国内研究综述</w:t>
      </w:r>
    </w:p>
    <w:p>
      <w:pPr>
        <w:rPr>
          <w:rFonts w:hint="eastAsia"/>
        </w:rPr>
      </w:pPr>
      <w:r>
        <w:rPr>
          <w:rFonts w:hint="eastAsia"/>
        </w:rPr>
        <w:t xml:space="preserve">  1.2.2国外研究综述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273675" cy="26600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98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270500" cy="187769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33" o:spt="75" alt="" type="#_x0000_t75" style="height:42.95pt;width:15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34" o:spt="75" type="#_x0000_t75" style="height:40pt;width:11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10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</w:t>
      </w:r>
      <w:bookmarkStart w:id="1" w:name="_GoBack"/>
      <w:bookmarkEnd w:id="1"/>
      <w:r>
        <w:rPr>
          <w:rFonts w:hint="eastAsia" w:ascii="Calibri" w:hAnsi="Calibri" w:cs="Calibri"/>
          <w:lang w:val="en-US" w:eastAsia="zh-CN"/>
        </w:rPr>
        <w:t>）</w:t>
      </w:r>
    </w:p>
    <w:p>
      <w:pPr>
        <w:numPr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hmsrdTimes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4975A93"/>
    <w:rsid w:val="061C3E22"/>
    <w:rsid w:val="06AD295C"/>
    <w:rsid w:val="0725099A"/>
    <w:rsid w:val="074B2051"/>
    <w:rsid w:val="07DE0D45"/>
    <w:rsid w:val="0A392DE8"/>
    <w:rsid w:val="0E282369"/>
    <w:rsid w:val="0F132722"/>
    <w:rsid w:val="0F8F139F"/>
    <w:rsid w:val="111E5DF5"/>
    <w:rsid w:val="133D0B6A"/>
    <w:rsid w:val="14701730"/>
    <w:rsid w:val="14723F74"/>
    <w:rsid w:val="14CE18FF"/>
    <w:rsid w:val="15B120AC"/>
    <w:rsid w:val="16F34C93"/>
    <w:rsid w:val="178500B0"/>
    <w:rsid w:val="195B6826"/>
    <w:rsid w:val="19DD6D52"/>
    <w:rsid w:val="1B5F37E3"/>
    <w:rsid w:val="1BC71C2E"/>
    <w:rsid w:val="1E9A348D"/>
    <w:rsid w:val="1E9D5840"/>
    <w:rsid w:val="1EBA03EF"/>
    <w:rsid w:val="20B13553"/>
    <w:rsid w:val="23AC6494"/>
    <w:rsid w:val="23E45484"/>
    <w:rsid w:val="24B37C1F"/>
    <w:rsid w:val="24DE5765"/>
    <w:rsid w:val="253B6106"/>
    <w:rsid w:val="25A8696E"/>
    <w:rsid w:val="25AB04CF"/>
    <w:rsid w:val="25D034BB"/>
    <w:rsid w:val="27857090"/>
    <w:rsid w:val="298771D5"/>
    <w:rsid w:val="2D86706E"/>
    <w:rsid w:val="30374B1E"/>
    <w:rsid w:val="31DD4469"/>
    <w:rsid w:val="32985CFD"/>
    <w:rsid w:val="33475FE9"/>
    <w:rsid w:val="33A72BC4"/>
    <w:rsid w:val="356834D5"/>
    <w:rsid w:val="3901454F"/>
    <w:rsid w:val="39287580"/>
    <w:rsid w:val="398E6A4C"/>
    <w:rsid w:val="399A3442"/>
    <w:rsid w:val="3B730FEA"/>
    <w:rsid w:val="3BAB4D14"/>
    <w:rsid w:val="3C922F7D"/>
    <w:rsid w:val="3F4A05F5"/>
    <w:rsid w:val="40A12BB0"/>
    <w:rsid w:val="42871503"/>
    <w:rsid w:val="4318222F"/>
    <w:rsid w:val="442B5733"/>
    <w:rsid w:val="45144BE6"/>
    <w:rsid w:val="453E7A9E"/>
    <w:rsid w:val="455552D6"/>
    <w:rsid w:val="47242485"/>
    <w:rsid w:val="48705CBE"/>
    <w:rsid w:val="48A55C1C"/>
    <w:rsid w:val="48D22D8E"/>
    <w:rsid w:val="4D5F3136"/>
    <w:rsid w:val="4EBC14AA"/>
    <w:rsid w:val="515A5FFF"/>
    <w:rsid w:val="51825991"/>
    <w:rsid w:val="51DD03B0"/>
    <w:rsid w:val="553005CD"/>
    <w:rsid w:val="55400110"/>
    <w:rsid w:val="55CE1618"/>
    <w:rsid w:val="56D119DC"/>
    <w:rsid w:val="58FC6427"/>
    <w:rsid w:val="59FF4818"/>
    <w:rsid w:val="5BB0532B"/>
    <w:rsid w:val="5D4D2076"/>
    <w:rsid w:val="62787940"/>
    <w:rsid w:val="62EB4826"/>
    <w:rsid w:val="62FE3840"/>
    <w:rsid w:val="63201859"/>
    <w:rsid w:val="63C93DF4"/>
    <w:rsid w:val="6442125C"/>
    <w:rsid w:val="665206CF"/>
    <w:rsid w:val="669047E8"/>
    <w:rsid w:val="67E8009A"/>
    <w:rsid w:val="67EE51F4"/>
    <w:rsid w:val="6A534D39"/>
    <w:rsid w:val="6AD358E1"/>
    <w:rsid w:val="6B162706"/>
    <w:rsid w:val="6BD630DE"/>
    <w:rsid w:val="6E036DC9"/>
    <w:rsid w:val="6E19304F"/>
    <w:rsid w:val="6FAF0D11"/>
    <w:rsid w:val="756A5F0A"/>
    <w:rsid w:val="75771C0E"/>
    <w:rsid w:val="75AE28BD"/>
    <w:rsid w:val="76DF57F7"/>
    <w:rsid w:val="76E76C56"/>
    <w:rsid w:val="772E52EC"/>
    <w:rsid w:val="77957313"/>
    <w:rsid w:val="78735E46"/>
    <w:rsid w:val="79FA263B"/>
    <w:rsid w:val="7B655F73"/>
    <w:rsid w:val="7C2D2E93"/>
    <w:rsid w:val="7C5416E5"/>
    <w:rsid w:val="7E3806C3"/>
    <w:rsid w:val="7EF059DE"/>
    <w:rsid w:val="7FA218F0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2019-01-10T13:09:53Z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