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CF414C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de Junio al 10 de Junio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CF414C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986175" w:rsidRPr="00AF4456" w:rsidRDefault="001D626E" w:rsidP="00AF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Uso de salidas PWM (</w:t>
            </w:r>
            <w:r w:rsidRPr="001D626E">
              <w:rPr>
                <w:rFonts w:ascii="Times New Roman" w:hAnsi="Times New Roman" w:cs="Times New Roman"/>
                <w:sz w:val="18"/>
                <w:szCs w:val="18"/>
              </w:rPr>
              <w:t>Programación de motores con L293D en Arduino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1D626E" w:rsidP="001D626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626E">
              <w:rPr>
                <w:rFonts w:ascii="Times New Roman" w:hAnsi="Times New Roman" w:cs="Times New Roman"/>
                <w:sz w:val="18"/>
                <w:szCs w:val="18"/>
              </w:rPr>
              <w:t>Identificar el funcionamiento del moto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 DC, controlando el sentido de </w:t>
            </w:r>
            <w:r w:rsidRPr="001D626E">
              <w:rPr>
                <w:rFonts w:ascii="Times New Roman" w:hAnsi="Times New Roman" w:cs="Times New Roman"/>
                <w:sz w:val="18"/>
                <w:szCs w:val="18"/>
              </w:rPr>
              <w:t>giro mediante el uso de un circuito integrado L293D.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1D626E" w:rsidRPr="001D626E" w:rsidRDefault="001D626E" w:rsidP="001D626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D626E" w:rsidRDefault="001D626E" w:rsidP="001D626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Analizar el funcionamiento del circuito integrado y sus terminales </w:t>
            </w:r>
          </w:p>
          <w:p w:rsidR="001D626E" w:rsidRPr="001D626E" w:rsidRDefault="001D626E" w:rsidP="001D626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626E">
              <w:rPr>
                <w:rFonts w:ascii="Times New Roman" w:hAnsi="Times New Roman" w:cs="Times New Roman"/>
                <w:sz w:val="18"/>
                <w:szCs w:val="18"/>
              </w:rPr>
              <w:t>Identifica</w:t>
            </w:r>
            <w:r w:rsidR="003476E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1D626E">
              <w:rPr>
                <w:rFonts w:ascii="Times New Roman" w:hAnsi="Times New Roman" w:cs="Times New Roman"/>
                <w:sz w:val="18"/>
                <w:szCs w:val="18"/>
              </w:rPr>
              <w:t xml:space="preserve"> y controla el sentido de giro con un circuito integrado L293D.</w:t>
            </w:r>
          </w:p>
          <w:p w:rsidR="00676ACD" w:rsidRPr="00C26E60" w:rsidRDefault="001D626E" w:rsidP="00C26E60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626E">
              <w:rPr>
                <w:rFonts w:ascii="Times New Roman" w:hAnsi="Times New Roman" w:cs="Times New Roman"/>
                <w:sz w:val="18"/>
                <w:szCs w:val="18"/>
              </w:rPr>
              <w:t>Soluciona</w:t>
            </w:r>
            <w:r w:rsidR="003476E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bookmarkStart w:id="0" w:name="_GoBack"/>
            <w:bookmarkEnd w:id="0"/>
            <w:r w:rsidRPr="001D626E">
              <w:rPr>
                <w:rFonts w:ascii="Times New Roman" w:hAnsi="Times New Roman" w:cs="Times New Roman"/>
                <w:sz w:val="18"/>
                <w:szCs w:val="18"/>
              </w:rPr>
              <w:t xml:space="preserve"> ejercicios teniendo en cuenta el funcionamiento de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D626E">
              <w:rPr>
                <w:rFonts w:ascii="Times New Roman" w:hAnsi="Times New Roman" w:cs="Times New Roman"/>
                <w:sz w:val="18"/>
                <w:szCs w:val="18"/>
              </w:rPr>
              <w:t>los operadores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26E60">
              <w:rPr>
                <w:rFonts w:ascii="Times New Roman" w:hAnsi="Times New Roman" w:cs="Times New Roman"/>
                <w:sz w:val="18"/>
                <w:szCs w:val="18"/>
              </w:rPr>
              <w:t>electrónicos.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1969D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SALIDAS PWM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Default="008E472B" w:rsidP="008E472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Conceptualización y u</w:t>
            </w:r>
            <w:r w:rsidR="00CA1954">
              <w:rPr>
                <w:rFonts w:ascii="Times New Roman" w:hAnsi="Times New Roman" w:cs="Times New Roman"/>
                <w:sz w:val="18"/>
                <w:szCs w:val="18"/>
              </w:rPr>
              <w:t xml:space="preserve">so 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>circuito integrado L293D y motor DC</w:t>
            </w:r>
          </w:p>
          <w:p w:rsidR="00CA1954" w:rsidRDefault="00CA1954" w:rsidP="00CA1954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Programación 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>para el control de sentido de giro de un motor DC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634BA8" w:rsidRPr="00253FAE" w:rsidRDefault="00C26E60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¿Cómo reconocer y utilizar las salidas PWM con un circuito integrado L293D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 xml:space="preserve"> para el funcionamiento de un motor</w:t>
            </w:r>
            <w:r w:rsidR="00255295" w:rsidRPr="00253FAE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969D2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la 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>interacción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con el circuito integrado y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de su funcionamiento y reconocimiento de las salidas PWM,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posterior a este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se plantea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la realización de una actividad donde se aplique lo visto en clase.</w:t>
            </w:r>
          </w:p>
          <w:p w:rsidR="00255295" w:rsidRPr="00E76A3D" w:rsidRDefault="00E76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Uso de variables </w:t>
            </w:r>
            <w:proofErr w:type="spellStart"/>
            <w:r w:rsidR="00C26E60">
              <w:rPr>
                <w:rFonts w:ascii="Times New Roman" w:hAnsi="Times New Roman" w:cs="Times New Roman"/>
                <w:sz w:val="18"/>
                <w:szCs w:val="18"/>
              </w:rPr>
              <w:t>conts</w:t>
            </w:r>
            <w:proofErr w:type="spellEnd"/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e </w:t>
            </w:r>
            <w:proofErr w:type="spellStart"/>
            <w:r w:rsidR="00C26E6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Default="007968AD" w:rsidP="00C26E6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 igual forma se indica a los estudiantes los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 conceptos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básicos 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del funcionamiento y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uso del circuito integrado 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>usando como ejemplo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la programación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de salidas PWM para el control de sentido de giro de un motor DC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en la ID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>Arduino, utilizando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infografías como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material didáctico 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para la explicación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la actividad propuesta en la guía de aprendizaje teniendo en cuenta cada una de l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>as explicaciones vistas en clase y recordando el material realizado en la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 clase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 anterior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1969D2" w:rsidRPr="00E76A3D" w:rsidRDefault="001969D2" w:rsidP="00C26E6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Default="00253FAE" w:rsidP="001969D2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</w:t>
            </w:r>
            <w:r w:rsidR="00C26E60">
              <w:rPr>
                <w:rFonts w:ascii="Times New Roman" w:eastAsia="Century Gothic" w:hAnsi="Times New Roman" w:cs="Times New Roman"/>
                <w:sz w:val="18"/>
                <w:szCs w:val="18"/>
              </w:rPr>
              <w:t>finalmente el estudiante realiza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la respectiva entrega de la Actividad a través de la plataforma </w:t>
            </w:r>
            <w:proofErr w:type="spellStart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>Edmodo</w:t>
            </w:r>
            <w:proofErr w:type="spellEnd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en la cual se tendrá en cuenta la aplicación de los conceptos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, variables y 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las temáticas 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>vistas en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clase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>s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anterior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>es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a utilizar. </w:t>
            </w:r>
          </w:p>
          <w:p w:rsidR="001969D2" w:rsidRPr="00E76A3D" w:rsidRDefault="001969D2" w:rsidP="001969D2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E76A3D" w:rsidRDefault="001D626E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F4456"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al didáctico digital (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>Infografía</w:t>
            </w:r>
            <w:r w:rsidR="00AF4456"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E76A3D" w:rsidRPr="00AF4456" w:rsidRDefault="00E76A3D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AF4456" w:rsidRPr="00AF4456" w:rsidRDefault="00AF4456" w:rsidP="00AF4456">
            <w:pPr>
              <w:pStyle w:val="Prrafodelista"/>
              <w:ind w:left="774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02F4A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976B2"/>
    <w:rsid w:val="000B2114"/>
    <w:rsid w:val="000E2280"/>
    <w:rsid w:val="001969D2"/>
    <w:rsid w:val="001D524B"/>
    <w:rsid w:val="001D626E"/>
    <w:rsid w:val="001D7C66"/>
    <w:rsid w:val="00220C73"/>
    <w:rsid w:val="00221A98"/>
    <w:rsid w:val="00253FAE"/>
    <w:rsid w:val="00255295"/>
    <w:rsid w:val="00263261"/>
    <w:rsid w:val="002C4FD4"/>
    <w:rsid w:val="00300CD6"/>
    <w:rsid w:val="00315B3C"/>
    <w:rsid w:val="003275E3"/>
    <w:rsid w:val="003476EA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83C32"/>
    <w:rsid w:val="005C2CF9"/>
    <w:rsid w:val="005F7B9B"/>
    <w:rsid w:val="00607421"/>
    <w:rsid w:val="00634BA8"/>
    <w:rsid w:val="00676ACD"/>
    <w:rsid w:val="0069191B"/>
    <w:rsid w:val="006A6204"/>
    <w:rsid w:val="006C2A3D"/>
    <w:rsid w:val="006F7C2C"/>
    <w:rsid w:val="00706190"/>
    <w:rsid w:val="007252CA"/>
    <w:rsid w:val="007763F6"/>
    <w:rsid w:val="007968AD"/>
    <w:rsid w:val="007C1202"/>
    <w:rsid w:val="008D33F8"/>
    <w:rsid w:val="008D50AC"/>
    <w:rsid w:val="008E472B"/>
    <w:rsid w:val="00927373"/>
    <w:rsid w:val="009300B3"/>
    <w:rsid w:val="0095009B"/>
    <w:rsid w:val="00986175"/>
    <w:rsid w:val="009B79A5"/>
    <w:rsid w:val="009C05D4"/>
    <w:rsid w:val="00A034EA"/>
    <w:rsid w:val="00A228FC"/>
    <w:rsid w:val="00A34955"/>
    <w:rsid w:val="00A51B5C"/>
    <w:rsid w:val="00A707A8"/>
    <w:rsid w:val="00AA30E4"/>
    <w:rsid w:val="00AB4DA1"/>
    <w:rsid w:val="00AF4456"/>
    <w:rsid w:val="00BB38C5"/>
    <w:rsid w:val="00C26E60"/>
    <w:rsid w:val="00C7680A"/>
    <w:rsid w:val="00C8163F"/>
    <w:rsid w:val="00C951E9"/>
    <w:rsid w:val="00CA1954"/>
    <w:rsid w:val="00CA58AE"/>
    <w:rsid w:val="00CC59D5"/>
    <w:rsid w:val="00CD41FC"/>
    <w:rsid w:val="00CF414C"/>
    <w:rsid w:val="00D0457E"/>
    <w:rsid w:val="00D23701"/>
    <w:rsid w:val="00D40DF2"/>
    <w:rsid w:val="00E71CC6"/>
    <w:rsid w:val="00E76A3D"/>
    <w:rsid w:val="00E97DF4"/>
    <w:rsid w:val="00EB35EE"/>
    <w:rsid w:val="00ED156C"/>
    <w:rsid w:val="00F53A62"/>
    <w:rsid w:val="00F74B76"/>
    <w:rsid w:val="00F867B3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5651B-2415-4CDD-8BC5-5F18831B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2404</Characters>
  <Application>Microsoft Office Word</Application>
  <DocSecurity>0</DocSecurity>
  <Lines>58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Cuenta Microsoft</cp:lastModifiedBy>
  <cp:revision>4</cp:revision>
  <dcterms:created xsi:type="dcterms:W3CDTF">2022-10-13T15:26:00Z</dcterms:created>
  <dcterms:modified xsi:type="dcterms:W3CDTF">2023-02-13T16:18:00Z</dcterms:modified>
</cp:coreProperties>
</file>