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B3C5D" w14:textId="77777777" w:rsidR="00946088" w:rsidRDefault="00000000">
      <w:pPr>
        <w:pStyle w:val="1"/>
      </w:pPr>
      <w:bookmarkStart w:id="0" w:name="30370"/>
      <w:bookmarkEnd w:id="0"/>
      <w:r>
        <w:t>[I-30370</w:t>
      </w:r>
      <w:proofErr w:type="gramStart"/>
      <w:r>
        <w:t>]  Stop</w:t>
      </w:r>
      <w:proofErr w:type="gramEnd"/>
      <w:r>
        <w:t xml:space="preserve"> the discharging process (Updated)</w:t>
      </w:r>
    </w:p>
    <w:p w14:paraId="42D32332" w14:textId="77777777" w:rsidR="00946088" w:rsidRDefault="00000000">
      <w:pPr>
        <w:pStyle w:val="a0"/>
      </w:pPr>
      <w:r>
        <w:rPr>
          <w:b/>
        </w:rPr>
        <w:t>Description:</w:t>
      </w:r>
      <w:r>
        <w:t xml:space="preserve"> </w:t>
      </w:r>
    </w:p>
    <w:p w14:paraId="38FA0D21" w14:textId="77777777" w:rsidR="00946088" w:rsidRDefault="00000000">
      <w:pPr>
        <w:pStyle w:val="a0"/>
      </w:pPr>
      <w:r>
        <w:rPr>
          <w:rStyle w:val="StrongEmphasis"/>
        </w:rPr>
        <w:t>Use Case: "Stop the discharge process''</w:t>
      </w:r>
      <w:r>
        <w:br/>
      </w:r>
      <w:r>
        <w:rPr>
          <w:rStyle w:val="StrongEmphasis"/>
        </w:rPr>
        <w:t>Goal:</w:t>
      </w:r>
      <w:r>
        <w:t xml:space="preserve"> stop discharging the vehicle battery</w:t>
      </w:r>
    </w:p>
    <w:p w14:paraId="6BD68E44" w14:textId="77777777" w:rsidR="00946088" w:rsidRDefault="00000000">
      <w:pPr>
        <w:pStyle w:val="a0"/>
      </w:pPr>
      <w:proofErr w:type="spellStart"/>
      <w:proofErr w:type="gramStart"/>
      <w:r>
        <w:rPr>
          <w:rStyle w:val="StrongEmphasis"/>
        </w:rPr>
        <w:t>Context:</w:t>
      </w:r>
      <w:r>
        <w:t>The</w:t>
      </w:r>
      <w:proofErr w:type="spellEnd"/>
      <w:proofErr w:type="gramEnd"/>
      <w:r>
        <w:t xml:space="preserve"> use case is built around ensuring that the electric vehicle's discharge system is controlled effectively to prevent complete battery depletion and to notify users of any faults or conditions that necessitate the stoppage of discharge.</w:t>
      </w:r>
      <w:r>
        <w:br/>
      </w:r>
      <w:r>
        <w:rPr>
          <w:rStyle w:val="StrongEmphasis"/>
        </w:rPr>
        <w:t>Scope:</w:t>
      </w:r>
      <w:r>
        <w:t xml:space="preserve"> Discharge gun, SWP, Mobile app</w:t>
      </w:r>
    </w:p>
    <w:p w14:paraId="211CBA65" w14:textId="77777777" w:rsidR="00946088" w:rsidRDefault="00000000">
      <w:pPr>
        <w:pStyle w:val="a0"/>
      </w:pPr>
      <w:r>
        <w:rPr>
          <w:rStyle w:val="StrongEmphasis"/>
        </w:rPr>
        <w:t>Actor:</w:t>
      </w:r>
      <w:r>
        <w:t xml:space="preserve"> User/driver, EV</w:t>
      </w:r>
      <w:r>
        <w:br/>
      </w:r>
      <w:r>
        <w:rPr>
          <w:rStyle w:val="StrongEmphasis"/>
        </w:rPr>
        <w:t>Preconditions:</w:t>
      </w:r>
    </w:p>
    <w:p w14:paraId="6627798C" w14:textId="77777777" w:rsidR="00946088" w:rsidRDefault="00000000">
      <w:pPr>
        <w:pStyle w:val="a0"/>
        <w:numPr>
          <w:ilvl w:val="0"/>
          <w:numId w:val="1"/>
        </w:numPr>
        <w:tabs>
          <w:tab w:val="left" w:pos="709"/>
        </w:tabs>
      </w:pPr>
      <w:r>
        <w:t xml:space="preserve">The discharge process is in progress. </w:t>
      </w:r>
    </w:p>
    <w:p w14:paraId="136EED4B" w14:textId="77777777" w:rsidR="00946088" w:rsidRDefault="00000000">
      <w:pPr>
        <w:pStyle w:val="a0"/>
      </w:pPr>
      <w:r>
        <w:rPr>
          <w:rStyle w:val="StrongEmphasis"/>
        </w:rPr>
        <w:t>Triggers:</w:t>
      </w:r>
    </w:p>
    <w:p w14:paraId="21920C46" w14:textId="77777777" w:rsidR="00946088" w:rsidRDefault="00000000">
      <w:pPr>
        <w:pStyle w:val="a0"/>
        <w:numPr>
          <w:ilvl w:val="0"/>
          <w:numId w:val="2"/>
        </w:numPr>
        <w:tabs>
          <w:tab w:val="left" w:pos="709"/>
        </w:tabs>
        <w:spacing w:after="0"/>
      </w:pPr>
      <w:r>
        <w:t xml:space="preserve">The vehicle is not in P mode </w:t>
      </w:r>
    </w:p>
    <w:p w14:paraId="7AED8B7B" w14:textId="77777777" w:rsidR="00946088" w:rsidRDefault="00000000">
      <w:pPr>
        <w:pStyle w:val="a0"/>
        <w:numPr>
          <w:ilvl w:val="0"/>
          <w:numId w:val="2"/>
        </w:numPr>
        <w:tabs>
          <w:tab w:val="left" w:pos="709"/>
        </w:tabs>
        <w:spacing w:after="0"/>
      </w:pPr>
      <w:r>
        <w:t xml:space="preserve">There is a failure to prohibit </w:t>
      </w:r>
      <w:proofErr w:type="gramStart"/>
      <w:r>
        <w:t>discharging</w:t>
      </w:r>
      <w:proofErr w:type="gramEnd"/>
      <w:r>
        <w:t xml:space="preserve"> </w:t>
      </w:r>
    </w:p>
    <w:p w14:paraId="060CD46A" w14:textId="77777777" w:rsidR="00946088" w:rsidRDefault="00000000">
      <w:pPr>
        <w:pStyle w:val="a0"/>
        <w:numPr>
          <w:ilvl w:val="0"/>
          <w:numId w:val="2"/>
        </w:numPr>
        <w:tabs>
          <w:tab w:val="left" w:pos="709"/>
        </w:tabs>
        <w:spacing w:after="0"/>
      </w:pPr>
      <w:r>
        <w:t xml:space="preserve">The discharge gun disconnected </w:t>
      </w:r>
    </w:p>
    <w:p w14:paraId="353D9B2F" w14:textId="77777777" w:rsidR="00946088" w:rsidRDefault="00000000">
      <w:pPr>
        <w:pStyle w:val="a0"/>
        <w:numPr>
          <w:ilvl w:val="0"/>
          <w:numId w:val="2"/>
        </w:numPr>
        <w:tabs>
          <w:tab w:val="left" w:pos="709"/>
        </w:tabs>
        <w:spacing w:after="0"/>
      </w:pPr>
      <w:r>
        <w:t xml:space="preserve">Stop discharge commanded </w:t>
      </w:r>
    </w:p>
    <w:p w14:paraId="17772827" w14:textId="77777777" w:rsidR="00946088" w:rsidRDefault="00000000">
      <w:pPr>
        <w:pStyle w:val="a0"/>
        <w:numPr>
          <w:ilvl w:val="0"/>
          <w:numId w:val="2"/>
        </w:numPr>
        <w:tabs>
          <w:tab w:val="left" w:pos="709"/>
        </w:tabs>
        <w:spacing w:after="0"/>
      </w:pPr>
      <w:r>
        <w:t xml:space="preserve">The vehicle SOC is less than or equal to the discharge cutoff SOC </w:t>
      </w:r>
    </w:p>
    <w:p w14:paraId="514C1DFC" w14:textId="77777777" w:rsidR="00946088" w:rsidRDefault="00000000">
      <w:pPr>
        <w:pStyle w:val="a0"/>
        <w:numPr>
          <w:ilvl w:val="0"/>
          <w:numId w:val="2"/>
        </w:numPr>
        <w:tabs>
          <w:tab w:val="left" w:pos="709"/>
        </w:tabs>
      </w:pPr>
      <w:r>
        <w:t xml:space="preserve">The DC charging gun is connected </w:t>
      </w:r>
    </w:p>
    <w:p w14:paraId="702720C3" w14:textId="77777777" w:rsidR="00946088" w:rsidRDefault="00000000">
      <w:pPr>
        <w:pStyle w:val="a0"/>
      </w:pPr>
      <w:r>
        <w:rPr>
          <w:rStyle w:val="StrongEmphasis"/>
        </w:rPr>
        <w:t>Main Scenario:</w:t>
      </w:r>
    </w:p>
    <w:p w14:paraId="2820DF57" w14:textId="77777777" w:rsidR="00946088" w:rsidRDefault="00000000">
      <w:pPr>
        <w:pStyle w:val="a0"/>
        <w:numPr>
          <w:ilvl w:val="0"/>
          <w:numId w:val="3"/>
        </w:numPr>
        <w:tabs>
          <w:tab w:val="left" w:pos="709"/>
        </w:tabs>
        <w:spacing w:after="0"/>
      </w:pPr>
      <w:r>
        <w:t xml:space="preserve">The discharge process stops </w:t>
      </w:r>
    </w:p>
    <w:p w14:paraId="1024C1E2" w14:textId="77777777" w:rsidR="00946088" w:rsidRDefault="00000000">
      <w:pPr>
        <w:pStyle w:val="a0"/>
        <w:numPr>
          <w:ilvl w:val="0"/>
          <w:numId w:val="3"/>
        </w:numPr>
        <w:tabs>
          <w:tab w:val="left" w:pos="709"/>
        </w:tabs>
        <w:spacing w:after="0"/>
      </w:pPr>
      <w:r>
        <w:t xml:space="preserve">The user is notified of all reasons for stopping discharging via out_2, and out_5 </w:t>
      </w:r>
    </w:p>
    <w:p w14:paraId="6D2EB432" w14:textId="77777777" w:rsidR="00946088" w:rsidRDefault="00000000">
      <w:pPr>
        <w:pStyle w:val="a0"/>
        <w:numPr>
          <w:ilvl w:val="0"/>
          <w:numId w:val="3"/>
        </w:numPr>
        <w:tabs>
          <w:tab w:val="left" w:pos="709"/>
        </w:tabs>
      </w:pPr>
      <w:r>
        <w:t xml:space="preserve">The discharge amount and stop SOC display on out_2, and out_5 </w:t>
      </w:r>
    </w:p>
    <w:p w14:paraId="33C3CBBD" w14:textId="77777777" w:rsidR="00946088" w:rsidRDefault="00000000">
      <w:pPr>
        <w:pStyle w:val="a0"/>
      </w:pPr>
      <w:r>
        <w:rPr>
          <w:rStyle w:val="StrongEmphasis"/>
        </w:rPr>
        <w:t>Post-conditions:</w:t>
      </w:r>
    </w:p>
    <w:p w14:paraId="796BE8F3" w14:textId="77777777" w:rsidR="00946088" w:rsidRDefault="00000000">
      <w:pPr>
        <w:pStyle w:val="a0"/>
        <w:numPr>
          <w:ilvl w:val="0"/>
          <w:numId w:val="4"/>
        </w:numPr>
        <w:tabs>
          <w:tab w:val="left" w:pos="709"/>
        </w:tabs>
      </w:pPr>
      <w:r>
        <w:t xml:space="preserve">Discharge process stopped </w:t>
      </w:r>
    </w:p>
    <w:p w14:paraId="3BD4A392" w14:textId="77777777" w:rsidR="00946088" w:rsidRDefault="00000000">
      <w:pPr>
        <w:pStyle w:val="a0"/>
      </w:pPr>
      <w:proofErr w:type="spellStart"/>
      <w:r>
        <w:rPr>
          <w:rStyle w:val="StrongEmphasis"/>
        </w:rPr>
        <w:t>Alternativ</w:t>
      </w:r>
      <w:proofErr w:type="spellEnd"/>
      <w:r>
        <w:rPr>
          <w:rStyle w:val="StrongEmphasis"/>
        </w:rPr>
        <w:t xml:space="preserve"> scenarios:</w:t>
      </w:r>
    </w:p>
    <w:p w14:paraId="6793E417" w14:textId="77777777" w:rsidR="00946088" w:rsidRDefault="00000000">
      <w:pPr>
        <w:pStyle w:val="a0"/>
        <w:numPr>
          <w:ilvl w:val="0"/>
          <w:numId w:val="5"/>
        </w:numPr>
        <w:tabs>
          <w:tab w:val="left" w:pos="709"/>
        </w:tabs>
        <w:spacing w:after="0"/>
      </w:pPr>
      <w:r>
        <w:t xml:space="preserve">stop discharging SOC </w:t>
      </w:r>
    </w:p>
    <w:p w14:paraId="2FA22E35" w14:textId="77777777" w:rsidR="00946088" w:rsidRDefault="00000000">
      <w:pPr>
        <w:pStyle w:val="a0"/>
        <w:numPr>
          <w:ilvl w:val="1"/>
          <w:numId w:val="5"/>
        </w:numPr>
        <w:tabs>
          <w:tab w:val="left" w:pos="1418"/>
        </w:tabs>
        <w:spacing w:after="0"/>
      </w:pPr>
      <w:r>
        <w:t xml:space="preserve">When the SOC reaches the predetermined threshold (10%, TBD), the system triggers a discharging stop protocol. </w:t>
      </w:r>
    </w:p>
    <w:p w14:paraId="7BD377A6" w14:textId="77777777" w:rsidR="00946088" w:rsidRDefault="00000000">
      <w:pPr>
        <w:pStyle w:val="a0"/>
        <w:numPr>
          <w:ilvl w:val="1"/>
          <w:numId w:val="5"/>
        </w:numPr>
        <w:tabs>
          <w:tab w:val="left" w:pos="1418"/>
        </w:tabs>
        <w:spacing w:after="0"/>
      </w:pPr>
      <w:r>
        <w:t xml:space="preserve">The discharge amount and stop SOC notification display on out_2, and out_5 </w:t>
      </w:r>
    </w:p>
    <w:p w14:paraId="7AA217AF" w14:textId="77777777" w:rsidR="00946088" w:rsidRDefault="00000000">
      <w:pPr>
        <w:pStyle w:val="a0"/>
        <w:numPr>
          <w:ilvl w:val="1"/>
          <w:numId w:val="5"/>
        </w:numPr>
        <w:tabs>
          <w:tab w:val="left" w:pos="1418"/>
        </w:tabs>
        <w:spacing w:after="0"/>
      </w:pPr>
      <w:r>
        <w:t xml:space="preserve">When the HV SOC is above 10%, the user shall be able to choose to continue the discharge process. </w:t>
      </w:r>
    </w:p>
    <w:p w14:paraId="3773827F" w14:textId="77777777" w:rsidR="00946088" w:rsidRDefault="00000000">
      <w:pPr>
        <w:pStyle w:val="a0"/>
        <w:numPr>
          <w:ilvl w:val="0"/>
          <w:numId w:val="5"/>
        </w:numPr>
        <w:tabs>
          <w:tab w:val="left" w:pos="709"/>
        </w:tabs>
        <w:spacing w:after="0"/>
      </w:pPr>
      <w:r>
        <w:t xml:space="preserve">stop discharge command via soft switch </w:t>
      </w:r>
    </w:p>
    <w:p w14:paraId="65620798" w14:textId="77777777" w:rsidR="00946088" w:rsidRDefault="00000000">
      <w:pPr>
        <w:pStyle w:val="a0"/>
        <w:numPr>
          <w:ilvl w:val="1"/>
          <w:numId w:val="5"/>
        </w:numPr>
        <w:tabs>
          <w:tab w:val="left" w:pos="1418"/>
        </w:tabs>
        <w:spacing w:after="0"/>
      </w:pPr>
      <w:r>
        <w:t xml:space="preserve">The user initiates the stopping of the discharge process using a soft switch on the in_2 SWP or through the in_5 Mobile App </w:t>
      </w:r>
    </w:p>
    <w:p w14:paraId="7CCA3AAA" w14:textId="77777777" w:rsidR="00946088" w:rsidRDefault="00000000">
      <w:pPr>
        <w:pStyle w:val="a0"/>
        <w:numPr>
          <w:ilvl w:val="1"/>
          <w:numId w:val="5"/>
        </w:numPr>
        <w:tabs>
          <w:tab w:val="left" w:pos="1418"/>
        </w:tabs>
        <w:spacing w:after="0"/>
      </w:pPr>
      <w:r>
        <w:t xml:space="preserve">The out_2 SWP and out_5 Mobile App display a notification confirming that the discharging process has stopped. </w:t>
      </w:r>
    </w:p>
    <w:p w14:paraId="753993E6" w14:textId="77777777" w:rsidR="00946088" w:rsidRDefault="00000000">
      <w:pPr>
        <w:pStyle w:val="a0"/>
        <w:numPr>
          <w:ilvl w:val="0"/>
          <w:numId w:val="5"/>
        </w:numPr>
        <w:tabs>
          <w:tab w:val="left" w:pos="709"/>
        </w:tabs>
        <w:spacing w:after="0"/>
      </w:pPr>
      <w:r>
        <w:t xml:space="preserve">discharging fault </w:t>
      </w:r>
    </w:p>
    <w:p w14:paraId="3CEBE068" w14:textId="77777777" w:rsidR="00946088" w:rsidRDefault="00000000">
      <w:pPr>
        <w:pStyle w:val="a0"/>
        <w:numPr>
          <w:ilvl w:val="1"/>
          <w:numId w:val="5"/>
        </w:numPr>
        <w:tabs>
          <w:tab w:val="left" w:pos="1418"/>
        </w:tabs>
        <w:spacing w:after="0"/>
      </w:pPr>
      <w:r>
        <w:t xml:space="preserve">In the case of electrical or system issues during the discharging process, the vehicle system </w:t>
      </w:r>
      <w:r>
        <w:lastRenderedPageBreak/>
        <w:t xml:space="preserve">stops the discharging process automatically to prevent any potential damage. </w:t>
      </w:r>
    </w:p>
    <w:p w14:paraId="400CC761" w14:textId="77777777" w:rsidR="00946088" w:rsidRDefault="00000000">
      <w:pPr>
        <w:pStyle w:val="a0"/>
        <w:numPr>
          <w:ilvl w:val="1"/>
          <w:numId w:val="5"/>
        </w:numPr>
        <w:tabs>
          <w:tab w:val="left" w:pos="1418"/>
        </w:tabs>
      </w:pPr>
      <w:r>
        <w:t xml:space="preserve">A notification is displayed to the user via the out_2 SWP or out_5 Mobile app, indicating the specific reason for stopping the discharge (e.g., "discharge fault," " discharge gun fault" "battery overheating" "The power of the external appliance is too high"). </w:t>
      </w:r>
    </w:p>
    <w:p w14:paraId="42A75B0F" w14:textId="593B3287" w:rsidR="00946088" w:rsidRDefault="00946088">
      <w:pPr>
        <w:pStyle w:val="a0"/>
      </w:pPr>
    </w:p>
    <w:sectPr w:rsidR="00946088">
      <w:pgSz w:w="12240" w:h="15840"/>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C3BC8"/>
    <w:multiLevelType w:val="multilevel"/>
    <w:tmpl w:val="409CF05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203552E7"/>
    <w:multiLevelType w:val="multilevel"/>
    <w:tmpl w:val="5A3AD52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2E73B23"/>
    <w:multiLevelType w:val="multilevel"/>
    <w:tmpl w:val="F1480DA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D2400BB"/>
    <w:multiLevelType w:val="multilevel"/>
    <w:tmpl w:val="5E50860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6941375D"/>
    <w:multiLevelType w:val="multilevel"/>
    <w:tmpl w:val="516AD1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77C04CCC"/>
    <w:multiLevelType w:val="multilevel"/>
    <w:tmpl w:val="049C44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3522883">
    <w:abstractNumId w:val="0"/>
  </w:num>
  <w:num w:numId="2" w16cid:durableId="1594624074">
    <w:abstractNumId w:val="3"/>
  </w:num>
  <w:num w:numId="3" w16cid:durableId="96798085">
    <w:abstractNumId w:val="4"/>
  </w:num>
  <w:num w:numId="4" w16cid:durableId="534465347">
    <w:abstractNumId w:val="1"/>
  </w:num>
  <w:num w:numId="5" w16cid:durableId="1783766556">
    <w:abstractNumId w:val="2"/>
  </w:num>
  <w:num w:numId="6" w16cid:durableId="1628707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88"/>
    <w:rsid w:val="004B5BC6"/>
    <w:rsid w:val="00946088"/>
    <w:rsid w:val="00CF1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1E7"/>
  <w15:docId w15:val="{B979ACAA-1456-4F65-84FA-6CF0420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Heading"/>
    <w:next w:val="a0"/>
    <w:uiPriority w:val="9"/>
    <w:qFormat/>
    <w:pPr>
      <w:outlineLvl w:val="0"/>
    </w:pPr>
    <w:rPr>
      <w:rFonts w:ascii="Liberation Serif" w:hAnsi="Liberation Serif"/>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Александр Дупак</cp:lastModifiedBy>
  <cp:revision>1</cp:revision>
  <dcterms:created xsi:type="dcterms:W3CDTF">2024-11-06T15:39:00Z</dcterms:created>
  <dcterms:modified xsi:type="dcterms:W3CDTF">2024-11-06T15:39:00Z</dcterms:modified>
  <dc:language>en-US</dc:language>
</cp:coreProperties>
</file>