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users can set the battery keep warm mode on IVI_IFT; The battery insulation mode can 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switched between any gear position；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Enabling conditions (a&amp;b&amp;c):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 The power mode of the vehicle is CGW_VehicleState=Standby-Normal/ StandbyOnlyLVon/Drive-Normal;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The user can operate the display;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IVI_IFT can receive the status signal of the corresponding controller;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Trigger conditions (a):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 The user is operating with the battery keep warm mode switch UI element;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 The user is operating with the battery keep warm mode switch UI element;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switch UI element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 Execution output ((a|b)&amp;c):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a. When the user turns on battery keep warm mode through SWP soft switch, IVI_IFT sends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"vehicle/{VIN}/hardware/battery/tractionKeepWarmCommand=0x2:ON" to SGW,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SGW sends IVI_KeepWarmRequest =0x2:ON" to BMS; when SGW receives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"BMS_KeepWarmStatus = 0x2:ON" from BMS, SGW sends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"vehicle/{VIN}/hardware/battery/tractionKeepWarmState= 0x2:ON" to IVI_IFT, showing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that battery keep warm mode is on;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a.When the user turns on battery keep warm mode through SWP soft switch, IVI_IFT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sends "vehicle/{VIN}/hardware/battery/tractionKeepWarmCommand=0x2:ON " to SGW,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SGW sends "IVI_KeepWarmRequest =0x2:ON " to BMS； When SGW receives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"BMS_KeepWarmStatus = 0x2:ON " feedback from BMS, SGW sends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"vehicle/{VIN}/hardware/battery/tractionKeepWarmState= 0x2:ON " to IVI_IFT,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displays keep warm mode as 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b. When the user chooses to turn off the battery warming mode through the SWP soft switch, IVI_IFT sends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"vehicle/{VIN}/hardware/battery/tractionKeepWarmCommand=0x1: OFF" to SGW,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SGW sends IVI_KeepWarmRequest =0x1: OFF" to BMS; When SGW receives "BMS_KeepWarmStatus =0x1: OFF" from BMS, SGW sends "vehicle/{VIN}/hardware/battery/tractionKeepWarmState=0x1: OFF" to IVI_IFT, indicating that the battery keep warm mode is off; b. When the user turns off battery keep warm mode through SWP soft switch, IVI_IFT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sends "vehicle/{VIN}/hardware/battery/tractionKeepWarmCommand=0x1: OFF " 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SGW，SGW sends "IVI_KeepWarmRequest =0x1: OFF " to BMS； When SGW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receives "BMS_KeepWarmStatus =0x1: OFF " feedback from BMS, SGW sends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"vehicle/{VIN}/hardware/battery/tractionKeepWarmState=0x1: OFF " to IVI_IFT,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displays keep warm mode as off;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c. SWP sends TouchEvents to IVI_IFT, informing IVI_IFT users of touch events; IVI_IFT sends VideoStream_SWP to SWP, inform SWP of the displayed content;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c. SWP sends TouchEvents to IVI_IFT, informing IVI_IFT users of touch events;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IVI_IFT sends VideoStream_SWP to SWP, inform SWP of the displayed content;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4) Exit conditions/Exit conditions (a):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a. The power state of the vehicle is not Standby-Normal/ Standby-OnlyLVon/Drive-Normal;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The power mode of the vehicle is CGW_VehicleState≠Standby-Normal/ StandbyOnlyLVon/Drive-Normal;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The default setting is off. (BMS will set to default) BMS memorizes the setting state, and IVI_IFT does not memorize the setting state;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The default setting is off. (BMS will set to default) BMS memorizes the setting state, and IVI_IFT does not memorize the setting state;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