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 can choose the starting charging or stopping charging on IVI_IFT ；Unlock/lock the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charging gun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Enabling conditions (a&amp;b&amp;c):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The power mode of the vehicle is CGW_VehicleState=Standby-Normal/ StandbyOnlyLVon/Drive-Normal;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The user can operate the display;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IVI_IFT can receive the status signal of the corresponding controller;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Trigger conditions (a|b|c|d):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IVI receives vehicle/{VIN}/hardware/battery/chargingState=0x5: AC Charging/0x6: DC Charging/0xA: AC Preheating/0xB: DC Preheating; a. IVI receive vehicle/{VIN}/hardware/battery/chargingState=0x5: AC Charging/0x6: DC Charging/0xA: AC Preheating/0xB: DC Preheating; b. IVI receive vehicle/Powertrain/TractionBattery/Charging/ChargeFormSet=0x2: Appointment charging &amp; vehicle/{VIN}/hardware/battery/chargingPileState =0x2: 9V PWM&amp; vehicle/{VIN}/hardware/battery/chargingConnectorState =0x2：1500 Ohm/0x3：680 Ohm/0x4：220 Ohm/0x5：100 Ohm; b. IVI receive vehicle/Powertrain/TractionBattery/Charging/ChargeFormSet=0x2: Appointment charging&amp; vehicle/{VIN}/hardware/battery/chargingPileState =0x2: 9V PWM&amp; vehicle/{VIN}/hardware/battery/chargingConnectorState =0x2：1500 Ohm/0x3：680 Ohm/0x4：220 Ohm/0x5：100 Ohm; c. IVI received vehicle/{VIN}/hardware/battery/chargingState=0x2: AC Plug Detected/0x4:V2L Plug Detected /0x8: Charging Completed/0x9: Fault /0xC: V2L completed /0xE:V2L Fault &amp; vehicle/{VIN}/hardware/battery/chargingLockState =0x1: close c. IVI receive vehicle/{VIN}/hardware/battery/chargingLockState =0x1: close d. IVI receive vehicle/{VIN}/ hardware/battery/chargingConnectorState =0x2:1500Ohm /0x3:680Ohm /0x4:220Ohm /0x5:100Ohm /0x6:2000Ohm /0x7:2700Ohm &amp; vehice/{VIN}/hardware/battery/chargingLockState =0x0：open e.. IVI receive vehicle/{VIN}/hardware/battery/chargingConnectorState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=0x2:1500Ohm/0x3:680Ohm/0x4:220 Ohm/0x5:100Ohm/0x6:2000Ohm/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0x7:2700Ohm &amp; vehicle/{VIN}/hardware/battery/chargingLockState =0x0:open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 Execution output/ Execution output ((a|b|c|d)&amp;e):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a. IVI_IFT displays the "Stop Charging" switch. After the user clicks it, IVI_IFT sends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vehicle/{VIN}/hardware/battery/chargingAppointCommand=0x2:Charge OFF 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SGW, and SGW sends IVI_AppointChargeCmd=0x2:Charge OFF to VCU; IVI does not display the "stop charging" switch, and after the user clicks, IVI_IFT sends vehicle/{VIN }/hardware/battery/chargingAppointCommand=0x2:Charge OFF to SGW, SGW sends IVI_ AppointChargeCmd=0x2:Charge OFF to VCU; When vehicle/{VIN}/hardware/battery/chargingState≠0x5: AC Charging/0x6: DC Charging/0xA: AC Preheating/0xB: DC Preheating, IVI does not display the "stop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charging" switch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 IVI_IFT displays the "immediate charging" switch. After the user clicks it, IVI_IFT sends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vehicle/{VIN}/hardware/battery/chargingAppointCommand=0x1:Charge ON 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SGW, SGW sends IVI_AppointChargeCmd=0x1:Charge ON to VCU; when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vehicle/{VIN}/battery/chargingModeState ≠0x2: Appointment charging 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vehicle/{VIN}/hardware/battery/chargingPileState ≠0x2: 9V PWM 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vehicle/{VIN}/hardware/battery/chargingConnectorState ≠0x2: 1500 Ohm/0x3: 680 Ohm/0x4: 220 Ohm/0x5: 100 Ohm, IVI does not display the "Charge immediately" switch, and after the user clicks, IVI_IFT sends vehicle/{VIN}/hardware/battery/chargingAppointCommand=0x1:Charge ON to SGW, SGW sends IVI_ AppointChargeCmd=0x1:Charge ON to VCU; When vehicle/{VIN}/battery/chargingModeState ≠0x2: Appointment charging or vehicle/{VIN}/hardware/battery/chargingPileState ≠0x2: 9V PWM or vehicle/{VIN}/hardware/battery/chargingConnectorState ≠0x2: 1500 Ohm/0x3: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680 Ohm/0x4: 220 Ohm/0x5: 100 Ohm, IVI does not display the " Charge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immediately " switch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c. IVI_IFT displays the "Unlock Electronic Lock" switch. After the user clicks it, IVI_IFT sends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vehicle/{VIN}/hardware/battery/chargingPlugLockCommand = 0x2: Unlock to SGW,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SGW sends IVI_LockACPlug = 0x1: Unlock to VCU; When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vehicle/{VIN}/hardware/battery/chargingState≠0x2: AC Plug Detected/0x4:V2L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Plug Detected /0x8: Charging Completed/0x9: Fault /0xC: V2L completed or vehicle/{VIN}/hardware/battery/chargingLockState ≠0x1：close c. lug =0x1: Unlock ON to VCU; When vehicle/{VIN}/hardware/battery/chargingState≠0x2: AC Plug Detected/0x4:V2L Plug Detected /0x8: Charging Completed/0x9: Fault /0xC: V2L completed or vehicle/{VIN}/hardware/battery/chargingLockState ≠0x1: close, IVI does not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display the " Unlocking electronic lock " switch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d. IVI_IFT displays the " Locking electronic lock " switch. After the user clicks it, IVI_IFT sends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vehicle/{VIN}/hardware/battery/chargingPlugLockCommand = 0x1: lock to SGW,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SGW sends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