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user can select the V2L function on and off on the IVI_IFT; The IVI_IFT does not enable or disable the V2L function, and the VCU processes the logic.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Enabling conditions (a&amp;b&amp;c):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The power mode of the vehicle is CGW_VehicleState=Standby-Normal/ StandbyOnlyLVon/Drive-Normal;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The user can operate the display;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 IVI_IFT can receive the status signal of the corresponding controller;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Trigger conditions/ Trigger conditions (a):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IVI_IFT receives vehicle/{VIN}/hardware/battery/chargingConnectorState=0x6: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2000ohm/0x7: 2700ohm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&amp;vehicle/{VIN}/hardware/battery/chargingState≠0x7:V2L Discharging; (without this coding value, IVI will not display the start discharge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switch)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IVI_IFT receives vehicle/{VIN}/hardware/battery/chargingConnectorState=0x6: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2000ohm/0x7: 2700ohm &amp;vehicle/{VIN}/hardware/battery/chargingState≠0x7V2L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Discharging; (without this coding value, IVI will not display the start discharge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Execution output/ Execution output ((a|b)&amp;c):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a. User When the discharge function is turned on, IVI_IFT sends "vehicle/{VIN}/hardware/battery/dischargingCommand=0x2: ON" to SGW, and SGW sends "IVI_DschrgOnOffSet =0x2: ON" to VCU; When SGW receives "VCU_Chargestatus = 0x7: V2L Discharging" from VCU, SGW sends "vehicle/{VIN}/hardware/battery/chargingState= 0x7: V2L Discharging" to IVI_IFT, and the discharge function is displayed as on, and IVI_IFT displays the "End Discharging" button; a.. When the user turns on the discharge function, IVI_IFT send "vehicle/{VIN}/hardware/battery/dischargingCommand=0x2: ON " to SGW, SGW sends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 IVI _DschrgOnOffSet =0x2: ON " to the VCU; When SGW receives 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VCU_Chargestatus = 0x7：V2L Discharging " feedback from VCU, SGW sends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"vehicle/{VIN}/hardware/battery/chargingState= 0x7：V2L Discharging" to IVI_IFT,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discharge function is displayed as on; IVI_IFT displays the "End Discharge" button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When the user chooses to turn off the discharge function, IVI_IFT sends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"vehicle/{VIN}/hardware/battery/dischargingCommand=0x1: OFF" to SGW, and SGW sends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"IVI_DschrgOnOffSet =0x1: OFF" to VCU; When SGW receives VCU When the feedback of "VCU_Chargestatus≠0x7:V2L Discharging and POD feedback of POD_OBC_CCStatus=0x6: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2000ohm/0x7:2700ohm", SGW sends "vehicle/{VIN}/hardware/battery/chargingState=0x4:V2L Plug Detected/ 0xC:V2L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completed/0xE:V2L Fault" to IVI_IFT, IVI_IFT displays the "Start Discharging" button;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When the user turns off the discharge function, IVI_IFT sends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vehicle/{VIN}/hardware/battery/dischargingCommand=0x1: OFF" to SGW, SGW sends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 IVI_DschrgOnOffSet =0x1: OFF " to the VCU; When SGW receives 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VCU_Chargestatus≠0x7:V2L Discharging " feedback from VCU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POD_OBC_CCStatus=0x6：2000ohm/0x7：2700ohm feedback from POD, SGW sends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vehicle/{VIN}/hardware/battery/chargingConnectorState=0x6：2000ohm/0x7：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2700ohm &amp;vehicle/{VIN}/hardware/battery/chargingState≠0x7V2L Discharging "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IVI_IFT, IVI_IFT displays the "Start Discharge" button；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SWP sends TouchEvents to IVI_IFT, informing IVI_IFT of user touch events; IVI_IFT sends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VideoStream_SWP to SWP, informing SWP of display content；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 SWP sends TouchEvents to IVI_IFT, informing IVI_IFT of user touch events;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SWP sends TouchEvents to IVI_IFT, informing IVI_IFT of display content； IVI_IFT users of touch events; IVI_IFT sends VideoStream_SWP to SWP, inform SWP of the displayed content; 4) Exit conditions/Exit conditions (a): a. The power mode of the vehicle is not Standby-Normal/ Standby-OnlyLVon/Drive-Normal; a. The power mode of the vehicle is CGW_VehicleState≠Standby-Normal/ StandbyOnlyLVon/Drive-Normal;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