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dw172s54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Аналіз витрат на наукові дослідження і розробки в Україні за 2016–2025 роки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Цей проект присвячений аналізу статистичних даних щодо витрат на наукові дослідження і розробки в Україні за період 2016–2025 років.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pzw9az5zsx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Мета проєкту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Метою проекту є дослідження витрат на наукові дослідження і розробки в Україні, аналіз їхньої динаміки та розподілу за видами економічної діяльності.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межах роботи було виконано: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пошук та підготовку відкритих статистичних даних;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очищення даних за допомогою Python;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описовий статистичний аналіз;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дослідження динаміки витрат;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аналіз розподілу та викидів;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візуальний аналіз у Tableau Public;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створення інтерактивного dashboard.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роботи використовувалися </w:t>
      </w:r>
      <w:r w:rsidDel="00000000" w:rsidR="00000000" w:rsidRPr="00000000">
        <w:rPr>
          <w:b w:val="1"/>
          <w:bCs w:val="1"/>
          <w:rtl w:val="0"/>
        </w:rPr>
        <w:t xml:space="preserve">Python (Pandas, Matplotlib)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bCs w:val="1"/>
          <w:rtl w:val="0"/>
        </w:rPr>
        <w:t xml:space="preserve">Tableau 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htgitlx0h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Джерело даних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аналізу використано відкриті статистичні дані Державної служби статистики України щодо показника: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«Витрати на наукові дослідження і розробки»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Дані містять інформацію за </w:t>
      </w:r>
      <w:r w:rsidDel="00000000" w:rsidR="00000000" w:rsidRPr="00000000">
        <w:rPr>
          <w:b w:val="1"/>
          <w:bCs w:val="1"/>
          <w:rtl w:val="0"/>
        </w:rPr>
        <w:t xml:space="preserve">2016–2025 роки</w:t>
      </w:r>
      <w:r w:rsidDel="00000000" w:rsidR="00000000" w:rsidRPr="00000000">
        <w:rPr>
          <w:rtl w:val="0"/>
        </w:rPr>
        <w:t xml:space="preserve">, а також категоріальні характеристики, зокрема вид економічної діяльності, одиницю виміру та інші параметри статистичного набору.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Одиниця виміру показника — </w:t>
      </w:r>
      <w:r w:rsidDel="00000000" w:rsidR="00000000" w:rsidRPr="00000000">
        <w:rPr>
          <w:b w:val="1"/>
          <w:bCs w:val="1"/>
          <w:rtl w:val="0"/>
        </w:rPr>
        <w:t xml:space="preserve">гривня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23bt2dsih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Очищення та підготовка даних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проведенням аналізу вихідний CSV-файл було очищено у Python за допомогою бібліотеки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очищення виконано: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перевірку структури набору даних;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пошук і видалення повних дублікатів;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видалення повністю порожніх колонок;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очищення текстових значень від зайвих пробілів;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заміну порожніх текстових значень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перетворення показників за 2016–2025 роки у числовий формат;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перевірку пропущених значень;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перевірку типів даних;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збереження очищеного набору в окремий CSV-файл.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використаному для Tableau файлі початково було </w:t>
      </w:r>
      <w:r w:rsidDel="00000000" w:rsidR="00000000" w:rsidRPr="00000000">
        <w:rPr>
          <w:b w:val="1"/>
          <w:bCs w:val="1"/>
          <w:rtl w:val="0"/>
        </w:rPr>
        <w:t xml:space="preserve">107 рядків і 21 колонка</w:t>
      </w:r>
      <w:r w:rsidDel="00000000" w:rsidR="00000000" w:rsidRPr="00000000">
        <w:rPr>
          <w:rtl w:val="0"/>
        </w:rPr>
        <w:t xml:space="preserve">. Після видалення двох повних дублікатів та повністю порожньої колонки фінальний набір містив </w:t>
      </w:r>
      <w:r w:rsidDel="00000000" w:rsidR="00000000" w:rsidRPr="00000000">
        <w:rPr>
          <w:b w:val="1"/>
          <w:bCs w:val="1"/>
          <w:rtl w:val="0"/>
        </w:rPr>
        <w:t xml:space="preserve">105 рядків і 20 колонок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Очищення даних було виконано в окремому Jupyter Notebook, що дозволяє відтворити всі етапи підготовки даних.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tsl1grah1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Аналіз даних у Python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ojzond71b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Описова статистика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кількісної оцінки витрат було розраховано основні статистичні характеристики: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середнє;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медіану;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мінімум;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максимум.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Аналіз показав, що протягом досліджуваного періоду середні значення витрат загалом зростали.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Наприклад, середнє значення становить приблизно: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461,2 тис. грн у 2016 році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1,49 млн грн у 2017 році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1,86 млн грн у 2018 році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2,18 млн грн у 2023 році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2,64 млн грн у 2024 році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2,89 млн грн у 2025 році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чином, наприкінці досліджуваного періоду середній рівень витрат був значно вищим, ніж на його початку.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Водночас середнє значення суттєво перевищує медіану. Наприклад, у 2025 році середнє становить приблизно </w:t>
      </w:r>
      <w:r w:rsidDel="00000000" w:rsidR="00000000" w:rsidRPr="00000000">
        <w:rPr>
          <w:b w:val="1"/>
          <w:bCs w:val="1"/>
          <w:rtl w:val="0"/>
        </w:rPr>
        <w:t xml:space="preserve">2,89 млн грн</w:t>
      </w:r>
      <w:r w:rsidDel="00000000" w:rsidR="00000000" w:rsidRPr="00000000">
        <w:rPr>
          <w:rtl w:val="0"/>
        </w:rPr>
        <w:t xml:space="preserve">, тоді як медіана — близько </w:t>
      </w:r>
      <w:r w:rsidDel="00000000" w:rsidR="00000000" w:rsidRPr="00000000">
        <w:rPr>
          <w:b w:val="1"/>
          <w:bCs w:val="1"/>
          <w:rtl w:val="0"/>
        </w:rPr>
        <w:t xml:space="preserve">147,5 тис. грн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свідчить про </w:t>
      </w:r>
      <w:r w:rsidDel="00000000" w:rsidR="00000000" w:rsidRPr="00000000">
        <w:rPr>
          <w:b w:val="1"/>
          <w:bCs w:val="1"/>
          <w:rtl w:val="0"/>
        </w:rPr>
        <w:t xml:space="preserve">нерівномірний розподіл витрат</w:t>
      </w:r>
      <w:r w:rsidDel="00000000" w:rsidR="00000000" w:rsidRPr="00000000">
        <w:rPr>
          <w:rtl w:val="0"/>
        </w:rPr>
        <w:t xml:space="preserve">: відносно невелика кількість спостережень із великими значеннями суттєво підвищує середнє.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2016 році середні витрати становили приблизно </w:t>
      </w:r>
      <w:r w:rsidDel="00000000" w:rsidR="00000000" w:rsidRPr="00000000">
        <w:rPr>
          <w:b w:val="1"/>
          <w:bCs w:val="1"/>
          <w:rtl w:val="0"/>
        </w:rPr>
        <w:t xml:space="preserve">461 тис. грн</w:t>
      </w:r>
      <w:r w:rsidDel="00000000" w:rsidR="00000000" w:rsidRPr="00000000">
        <w:rPr>
          <w:rtl w:val="0"/>
        </w:rPr>
        <w:t xml:space="preserve">, тоді як у 2025 році — близько </w:t>
      </w:r>
      <w:r w:rsidDel="00000000" w:rsidR="00000000" w:rsidRPr="00000000">
        <w:rPr>
          <w:b w:val="1"/>
          <w:bCs w:val="1"/>
          <w:rtl w:val="0"/>
        </w:rPr>
        <w:t xml:space="preserve">2,89 млн грн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Динаміка не була рівномірною. Після зростання у 2017–2018 роках середнє значення знизилося у 2019 році.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2020–2021 роках зростання відновилося, у 2022 році спостерігалася відносна стабілізація, а починаючи з 2023 року середні витрати знову помітно збільшуються.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значного зростання у 2017–2018 роках у 2019 році спостерігається зниження середнього значення. У 2020–2021 роках зростання відновилося, тоді як у 2022 році середній показник залишився приблизно на рівні попереднього року.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Найбільш виразне стабільне зростання спостерігається у </w:t>
      </w:r>
      <w:r w:rsidDel="00000000" w:rsidR="00000000" w:rsidRPr="00000000">
        <w:rPr>
          <w:b w:val="1"/>
          <w:bCs w:val="1"/>
          <w:rtl w:val="0"/>
        </w:rPr>
        <w:t xml:space="preserve">2023–2025 роках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6uu8io9r6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Аналіз розподілу та викидів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дослідження розподілу даних було використано boxplot.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Візуалізація підтвердила значну варіативність значень та наявність спостережень, які суттєво перевищують типовий рівень витрат.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також пояснює значну різницю між середнім і медіанним значеннями.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Тому для інтерпретації цього набору даних доцільно використовувати не лише середнє, але й медіану та характеристики розподілу.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yqa4964am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Темпи зміни витрат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детальнішого аналізу динаміки доцільно розрахувати річні темпи зміни середніх витрат.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весь досліджуваний період середнє значення збільшилося приблизно з </w:t>
      </w:r>
      <w:r w:rsidDel="00000000" w:rsidR="00000000" w:rsidRPr="00000000">
        <w:rPr>
          <w:b w:val="1"/>
          <w:bCs w:val="1"/>
          <w:rtl w:val="0"/>
        </w:rPr>
        <w:t xml:space="preserve">461 тис. грн у 2016 році до 2,89 млн грн у 2025 році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означає, що середнє значення у 2025 році було приблизно у </w:t>
      </w:r>
      <w:r w:rsidDel="00000000" w:rsidR="00000000" w:rsidRPr="00000000">
        <w:rPr>
          <w:b w:val="1"/>
          <w:bCs w:val="1"/>
          <w:rtl w:val="0"/>
        </w:rPr>
        <w:t xml:space="preserve">6,3 раза</w:t>
      </w:r>
      <w:r w:rsidDel="00000000" w:rsidR="00000000" w:rsidRPr="00000000">
        <w:rPr>
          <w:rtl w:val="0"/>
        </w:rPr>
        <w:t xml:space="preserve"> вищим, ніж у 2016 році.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Номінальний приріст становив приблизно </w:t>
      </w:r>
      <w:r w:rsidDel="00000000" w:rsidR="00000000" w:rsidRPr="00000000">
        <w:rPr>
          <w:b w:val="1"/>
          <w:bCs w:val="1"/>
          <w:rtl w:val="0"/>
        </w:rPr>
        <w:t xml:space="preserve">526%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9cc3m409i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Кореляційний аналіз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дослідження взаємозв'язку між значеннями витрат у різні роки використовується кореляційна матриця.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5j6mvpiw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Аналіз у Tableau Public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Для детальнішого аналізу витрат за видами економічної діяльності було використано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Tableau Public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4msn3o1zs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Топ-10 видів економічної діяльності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Першою візуалізацією став рейтинг видів економічної діяльності за величиною витрат.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аналізу було обрано </w:t>
      </w:r>
      <w:r w:rsidDel="00000000" w:rsidR="00000000" w:rsidRPr="00000000">
        <w:rPr>
          <w:b w:val="1"/>
          <w:bCs w:val="1"/>
          <w:rtl w:val="0"/>
        </w:rPr>
        <w:t xml:space="preserve">2025 рік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Серед найбільших значень у 2025 році: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3.4292696171615"/>
        <w:gridCol w:w="1522.0825414064623"/>
        <w:tblGridChange w:id="0">
          <w:tblGrid>
            <w:gridCol w:w="7503.4292696171615"/>
            <w:gridCol w:w="1522.08254140646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економічної діяльності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Витрати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Професійна, наукова та технічна діяльність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21,19 млн грн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Наукові дослідження та розробки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19,88 млн грн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Дослідження й експериментальні розробки у сфері природничих і технічних наук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18,65 млн грн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Переробна промисловість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5,41 млн грн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Освіта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4,76 млн грн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Результати демонструють значну різницю між провідними категоріями та іншими видами економічної діяльності.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yeu05y3r6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Динаміка витрат за видом економічної діяльності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аналізу часової динаміки було створено інтерактивний лінійний графік.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може вибрати конкретний вид економічної діяльності та простежити зміну витрат за роками.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Наприклад, для категорії </w:t>
      </w:r>
      <w:r w:rsidDel="00000000" w:rsidR="00000000" w:rsidRPr="00000000">
        <w:rPr>
          <w:b w:val="1"/>
          <w:bCs w:val="1"/>
          <w:rtl w:val="0"/>
        </w:rPr>
        <w:t xml:space="preserve">«Професійна, наукова та технічна діяльність»</w:t>
      </w:r>
      <w:r w:rsidDel="00000000" w:rsidR="00000000" w:rsidRPr="00000000">
        <w:rPr>
          <w:rtl w:val="0"/>
        </w:rPr>
        <w:t xml:space="preserve"> спостерігається загальна тенденція до зростання.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Витрати збільшилися приблизно з </w:t>
      </w:r>
      <w:r w:rsidDel="00000000" w:rsidR="00000000" w:rsidRPr="00000000">
        <w:rPr>
          <w:b w:val="1"/>
          <w:bCs w:val="1"/>
          <w:rtl w:val="0"/>
        </w:rPr>
        <w:t xml:space="preserve">11,18 млн грн у 2017 році до 21,19 млн грн у 2025 році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цьому зростання не було рівномірним. Після збільшення до 2021 року спостерігалося певне зниження у 2022–2023 роках, після чого у 2024 та 2025 роках відбулося суттєве зростання.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2016 року для цієї категорії значення в деталізованому наборі відсутнє. Воно не було замінено нулем, оскільки відсутність статистичного значення не означає відсутності витрат.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0zczbinp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Теплова карта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одночасного порівняння часової та категоріальної структури було створено теплову карту за </w:t>
      </w:r>
      <w:r w:rsidDel="00000000" w:rsidR="00000000" w:rsidRPr="00000000">
        <w:rPr>
          <w:b w:val="1"/>
          <w:bCs w:val="1"/>
          <w:rtl w:val="0"/>
        </w:rPr>
        <w:t xml:space="preserve">2016–2025 роки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Рядки представляють види економічної діяльності, колонки — роки, а інтенсивність кольору відповідає величині витрат.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Теплова карта дозволяє швидко визначити: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категорії з найбільшими витратами;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роки з підвищеними значеннями;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зміну інтенсивності витрат у часі;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категорії, для яких окремі статистичні значення відсутні.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Візуально помітна концентрація високих значень у кількох провідних категоріях, а також посилення витрат наприкінці досліджуваного періоду.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ycobe9j83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Інтерактивний Dashboard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завершальному етапі три Tableau-візуалізації було об'єднано в єдиний інтерактивний dashboard: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«Аналіз витрат на наукові дослідження і розробки в Україні»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Посилання на Dashboard: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https://public.tableau.com/views/analiz_wytrat_na_naukowi_doslidzennia_i_rozrobky/Dashboard1?:language=en-GB&amp;publish=yes&amp;:sid=&amp;:redirect=auth&amp;:display_count=n&amp;:origin=viz_share_link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n2hne4efw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Висновки за результатами аналізу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Проведений аналіз даних за 2016–2025 роки показав, що сфера наукових досліджень і розробок характеризується загальною тенденцією до зростання витрат, але водночас має суттєву нерівномірність їх розподілу.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33vlolofw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можна оцінити позитивно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Насамперед позитивною тенденцією є </w:t>
      </w:r>
      <w:r w:rsidDel="00000000" w:rsidR="00000000" w:rsidRPr="00000000">
        <w:rPr>
          <w:b w:val="1"/>
          <w:bCs w:val="1"/>
          <w:rtl w:val="0"/>
        </w:rPr>
        <w:t xml:space="preserve">зростання витрат наприкінці досліджуваного періоду</w:t>
      </w:r>
      <w:r w:rsidDel="00000000" w:rsidR="00000000" w:rsidRPr="00000000">
        <w:rPr>
          <w:rtl w:val="0"/>
        </w:rPr>
        <w:t xml:space="preserve">. За результатами описової статистики середнє значення витрат у 2025 році було суттєво вищим, ніж на початку аналізованого періоду.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Аналіз у Tableau також показав зростання в окремих видах економічної діяльності. Наприклад, для категорії </w:t>
      </w:r>
      <w:r w:rsidDel="00000000" w:rsidR="00000000" w:rsidRPr="00000000">
        <w:rPr>
          <w:b w:val="1"/>
          <w:bCs w:val="1"/>
          <w:rtl w:val="0"/>
        </w:rPr>
        <w:t xml:space="preserve">«Професійна, наукова та технічна діяльність»</w:t>
      </w:r>
      <w:r w:rsidDel="00000000" w:rsidR="00000000" w:rsidRPr="00000000">
        <w:rPr>
          <w:rtl w:val="0"/>
        </w:rPr>
        <w:t xml:space="preserve"> витрати зросли приблизно з 11,18 млн грн у 2017 році до 21,19 млн грн у 2025 році.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Позитивним є також те, що науково-дослідна діяльність представлена в різних секторах економіки — від професійної та науково-технічної діяльності до промисловості й освіти.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9uip8l3zh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Що потребує уваги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Основною проблемою є </w:t>
      </w:r>
      <w:r w:rsidDel="00000000" w:rsidR="00000000" w:rsidRPr="00000000">
        <w:rPr>
          <w:b w:val="1"/>
          <w:bCs w:val="1"/>
          <w:rtl w:val="0"/>
        </w:rPr>
        <w:t xml:space="preserve">значна нерівномірність розподілу витрат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Python-аналізі середні значення значно перевищували медіанні. Наприклад, у 2025 році середнє становить близько </w:t>
      </w:r>
      <w:r w:rsidDel="00000000" w:rsidR="00000000" w:rsidRPr="00000000">
        <w:rPr>
          <w:b w:val="1"/>
          <w:bCs w:val="1"/>
          <w:rtl w:val="0"/>
        </w:rPr>
        <w:t xml:space="preserve">2,89 млн грн</w:t>
      </w:r>
      <w:r w:rsidDel="00000000" w:rsidR="00000000" w:rsidRPr="00000000">
        <w:rPr>
          <w:rtl w:val="0"/>
        </w:rPr>
        <w:t xml:space="preserve">, тоді як медіана — близько </w:t>
      </w:r>
      <w:r w:rsidDel="00000000" w:rsidR="00000000" w:rsidRPr="00000000">
        <w:rPr>
          <w:b w:val="1"/>
          <w:bCs w:val="1"/>
          <w:rtl w:val="0"/>
        </w:rPr>
        <w:t xml:space="preserve">147,5 тис. грн</w:t>
      </w:r>
      <w:r w:rsidDel="00000000" w:rsidR="00000000" w:rsidRPr="00000000">
        <w:rPr>
          <w:rtl w:val="0"/>
        </w:rPr>
        <w:t xml:space="preserve">. Це означає, що відносно невелика кількість великих значень суттєво впливає на середній показник.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Цю особливість підтверджує і Tableau: найбільші обсяги витрат концентруються в обмеженій кількості категорій, тоді як для значної частини видів діяльності значення є набагато нижчими.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Ще однією проблемою є </w:t>
      </w:r>
      <w:r w:rsidDel="00000000" w:rsidR="00000000" w:rsidRPr="00000000">
        <w:rPr>
          <w:b w:val="1"/>
          <w:bCs w:val="1"/>
          <w:rtl w:val="0"/>
        </w:rPr>
        <w:t xml:space="preserve">неповнота окремих статистичних даних</w:t>
      </w:r>
      <w:r w:rsidDel="00000000" w:rsidR="00000000" w:rsidRPr="00000000">
        <w:rPr>
          <w:rtl w:val="0"/>
        </w:rPr>
        <w:t xml:space="preserve">. Зокрема, у деталізованому наборі для частини категорій відсутні значення за 2016 рік. Тому такі пропуски не можна автоматично трактувати як нульові витрати.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/>
      </w:pPr>
      <w:bookmarkStart w:colFirst="0" w:colLast="0" w:name="_1mtw5r56k7u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Рекомендації та пропозиції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На рівні громадян: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Дані можна використовувати для оцінки тенденцій у фінансуванні наукових досліджень та вибору перспективних напрямів. Водночас варто враховувати не лише обсяг витрат, а й результати дослідницької діяльності.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На рівні бізнесу: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Науковим установам, університетам, ГО та бізнесу доцільно порівнювати власні витрати із загальними тенденціями та оцінювати їхню ефективність через результати: дослідження, публікації, патенти, розробки та впровадження.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На рівні держави: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Доцільно підвищувати якість і повноту відкритих даних, аналізувати ефективність розподілу фінансування та пов'язувати обсяги витрат із конкретними результатами наукової діяльності.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public.tableau.com/views/analiz_wytrat_na_naukowi_doslidzennia_i_rozrobky/Dashboard1?:language=en-GB&amp;publish=yes&amp;:sid=&amp;:redirect=auth&amp;:display_count=n&amp;:origin=viz_share_link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