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D11E4D">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D11E4D">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D11E4D">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D11E4D">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D11E4D">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D11E4D">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9059A7" w:rsidRDefault="009059A7" w:rsidP="009059A7"/>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lastRenderedPageBreak/>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Adinda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proofErr w:type="spellStart"/>
            <w:r w:rsidRPr="00B60D02">
              <w:rPr>
                <w:rFonts w:ascii="Times New Roman" w:hAnsi="Times New Roman" w:cs="Times New Roman"/>
                <w:color w:val="auto"/>
                <w:sz w:val="16"/>
                <w:szCs w:val="16"/>
              </w:rPr>
              <w:t>Adinda</w:t>
            </w:r>
            <w:proofErr w:type="spellEnd"/>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Adinda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C3FBF" w:rsidRPr="00BC3FBF" w:rsidRDefault="00BC3FBF" w:rsidP="00BC3FBF">
      <w:pPr>
        <w:pStyle w:val="Heading1"/>
        <w:ind w:left="0"/>
      </w:pPr>
      <w:bookmarkStart w:id="5" w:name="_Toc384845074"/>
      <w:r>
        <w:t>4.1 Query Processor</w:t>
      </w:r>
      <w:bookmarkEnd w:id="5"/>
    </w:p>
    <w:p w:rsidR="00BC3FBF" w:rsidRPr="00BC3FBF" w:rsidRDefault="00BC3FBF" w:rsidP="00BC3FBF"/>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BC3FBF">
      <w:pPr>
        <w:pStyle w:val="Title"/>
      </w:pPr>
    </w:p>
    <w:p w:rsidR="00BC3FBF" w:rsidRDefault="00BC3FBF" w:rsidP="00D4197A">
      <w:pPr>
        <w:pStyle w:val="Title"/>
        <w:jc w:val="center"/>
      </w:pPr>
      <w:r>
        <w:lastRenderedPageBreak/>
        <w:t>5. Testing</w:t>
      </w:r>
    </w:p>
    <w:p w:rsidR="000E60A6" w:rsidRDefault="000E60A6" w:rsidP="000E60A6"/>
    <w:p w:rsidR="00D11E4D" w:rsidRPr="00D11E4D" w:rsidRDefault="000E60A6" w:rsidP="00D11E4D">
      <w:pPr>
        <w:pStyle w:val="Heading1"/>
        <w:ind w:left="0"/>
      </w:pPr>
      <w:bookmarkStart w:id="6" w:name="_Toc384845075"/>
      <w:r>
        <w:t>5.1</w:t>
      </w:r>
      <w:r>
        <w:tab/>
        <w:t>Test</w:t>
      </w:r>
      <w:r w:rsidR="00984919">
        <w:t>ing</w:t>
      </w:r>
      <w:r>
        <w:t xml:space="preserve"> Plan</w:t>
      </w:r>
      <w:bookmarkStart w:id="7" w:name="_GoBack"/>
      <w:bookmarkEnd w:id="6"/>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eastAsia="en-SG"/>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lastRenderedPageBreak/>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0E60A6" w:rsidRDefault="000E60A6" w:rsidP="000E60A6">
      <w:pPr>
        <w:pStyle w:val="Heading1"/>
        <w:ind w:left="0"/>
      </w:pPr>
    </w:p>
    <w:p w:rsidR="000E60A6" w:rsidRDefault="000E60A6" w:rsidP="000E60A6">
      <w:pPr>
        <w:pStyle w:val="Heading1"/>
        <w:ind w:left="0"/>
      </w:pPr>
    </w:p>
    <w:p w:rsidR="000E60A6" w:rsidRDefault="000E60A6" w:rsidP="000E60A6">
      <w:pPr>
        <w:pStyle w:val="Heading1"/>
        <w:ind w:left="0"/>
      </w:pPr>
      <w:bookmarkStart w:id="10" w:name="_Toc384845077"/>
      <w:r>
        <w:t>5.3</w:t>
      </w:r>
      <w:r>
        <w:tab/>
        <w:t>Integration Testing</w:t>
      </w:r>
      <w:bookmarkEnd w:id="10"/>
    </w:p>
    <w:p w:rsidR="000E60A6" w:rsidRDefault="000E60A6" w:rsidP="000E60A6"/>
    <w:p w:rsidR="000E60A6" w:rsidRPr="000E60A6" w:rsidRDefault="000E60A6" w:rsidP="000E60A6">
      <w:pPr>
        <w:pStyle w:val="Heading1"/>
        <w:ind w:left="0"/>
      </w:pPr>
      <w:bookmarkStart w:id="11" w:name="_Toc384845078"/>
      <w:r>
        <w:t>5.4</w:t>
      </w:r>
      <w:r>
        <w:tab/>
        <w:t>System Testing</w:t>
      </w:r>
      <w:bookmarkEnd w:id="11"/>
    </w:p>
    <w:p w:rsidR="000E60A6" w:rsidRPr="000E60A6" w:rsidRDefault="000E60A6" w:rsidP="000E60A6"/>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 xml:space="preserve">the </w:t>
            </w:r>
            <w:proofErr w:type="spellStart"/>
            <w:r>
              <w:rPr>
                <w:rFonts w:ascii="Trebuchet MS" w:eastAsia="Times New Roman" w:hAnsi="Trebuchet MS" w:cs="Times New Roman"/>
                <w:color w:val="000000"/>
                <w:sz w:val="24"/>
                <w:szCs w:val="24"/>
                <w:lang w:eastAsia="en-SG"/>
              </w:rPr>
              <w:t>i</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lastRenderedPageBreak/>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lastRenderedPageBreak/>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lastRenderedPageBreak/>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lastRenderedPageBreak/>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lastRenderedPageBreak/>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lastRenderedPageBreak/>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45486D" w:rsidRDefault="0045486D">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B584F"/>
    <w:rsid w:val="001B5D38"/>
    <w:rsid w:val="001D0AFD"/>
    <w:rsid w:val="001D5705"/>
    <w:rsid w:val="00205EE9"/>
    <w:rsid w:val="00213297"/>
    <w:rsid w:val="00216153"/>
    <w:rsid w:val="00255FA2"/>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5211B"/>
    <w:rsid w:val="0056674C"/>
    <w:rsid w:val="00580237"/>
    <w:rsid w:val="005A2B38"/>
    <w:rsid w:val="00603C44"/>
    <w:rsid w:val="00607E74"/>
    <w:rsid w:val="00613795"/>
    <w:rsid w:val="00624017"/>
    <w:rsid w:val="006559BA"/>
    <w:rsid w:val="00667F01"/>
    <w:rsid w:val="0067175D"/>
    <w:rsid w:val="00690510"/>
    <w:rsid w:val="006E6E96"/>
    <w:rsid w:val="006F6474"/>
    <w:rsid w:val="006F74F5"/>
    <w:rsid w:val="007054E3"/>
    <w:rsid w:val="00720720"/>
    <w:rsid w:val="00723712"/>
    <w:rsid w:val="00727EA8"/>
    <w:rsid w:val="00730AD6"/>
    <w:rsid w:val="00776A9A"/>
    <w:rsid w:val="007854A8"/>
    <w:rsid w:val="007959C6"/>
    <w:rsid w:val="007B73F7"/>
    <w:rsid w:val="007E04C9"/>
    <w:rsid w:val="00815186"/>
    <w:rsid w:val="00816620"/>
    <w:rsid w:val="00816C25"/>
    <w:rsid w:val="00865B09"/>
    <w:rsid w:val="008853B4"/>
    <w:rsid w:val="008961D2"/>
    <w:rsid w:val="008B2F6E"/>
    <w:rsid w:val="008F3CAE"/>
    <w:rsid w:val="009059A7"/>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734B3"/>
    <w:rsid w:val="00A8272C"/>
    <w:rsid w:val="00A916DF"/>
    <w:rsid w:val="00A91E0E"/>
    <w:rsid w:val="00A96020"/>
    <w:rsid w:val="00AA3AE9"/>
    <w:rsid w:val="00AA46A5"/>
    <w:rsid w:val="00AC3646"/>
    <w:rsid w:val="00AC7985"/>
    <w:rsid w:val="00B00C37"/>
    <w:rsid w:val="00B10C95"/>
    <w:rsid w:val="00B33081"/>
    <w:rsid w:val="00B35F3E"/>
    <w:rsid w:val="00B364AC"/>
    <w:rsid w:val="00B60D02"/>
    <w:rsid w:val="00BC3E1A"/>
    <w:rsid w:val="00BC3FBF"/>
    <w:rsid w:val="00BD1BF2"/>
    <w:rsid w:val="00BE2B99"/>
    <w:rsid w:val="00BF0D75"/>
    <w:rsid w:val="00C26C2B"/>
    <w:rsid w:val="00C52B22"/>
    <w:rsid w:val="00C828B5"/>
    <w:rsid w:val="00C84068"/>
    <w:rsid w:val="00C9182F"/>
    <w:rsid w:val="00C951D0"/>
    <w:rsid w:val="00CC64F7"/>
    <w:rsid w:val="00CD36E2"/>
    <w:rsid w:val="00CE65E7"/>
    <w:rsid w:val="00CF07E7"/>
    <w:rsid w:val="00D11E4D"/>
    <w:rsid w:val="00D25E56"/>
    <w:rsid w:val="00D4197A"/>
    <w:rsid w:val="00D91EC1"/>
    <w:rsid w:val="00D95DEE"/>
    <w:rsid w:val="00DB6A8B"/>
    <w:rsid w:val="00DD2C91"/>
    <w:rsid w:val="00DE2262"/>
    <w:rsid w:val="00DF083D"/>
    <w:rsid w:val="00DF5143"/>
    <w:rsid w:val="00E0778C"/>
    <w:rsid w:val="00E113A9"/>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64856"/>
    <w:rsid w:val="00F968D2"/>
    <w:rsid w:val="00FB10A5"/>
    <w:rsid w:val="00FD569E"/>
    <w:rsid w:val="00FE11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79981056"/>
        <c:axId val="77857344"/>
      </c:barChart>
      <c:catAx>
        <c:axId val="79981056"/>
        <c:scaling>
          <c:orientation val="maxMin"/>
        </c:scaling>
        <c:delete val="0"/>
        <c:axPos val="l"/>
        <c:majorTickMark val="out"/>
        <c:minorTickMark val="none"/>
        <c:tickLblPos val="nextTo"/>
        <c:crossAx val="77857344"/>
        <c:crosses val="autoZero"/>
        <c:auto val="1"/>
        <c:lblAlgn val="ctr"/>
        <c:lblOffset val="100"/>
        <c:noMultiLvlLbl val="0"/>
      </c:catAx>
      <c:valAx>
        <c:axId val="77857344"/>
        <c:scaling>
          <c:orientation val="minMax"/>
          <c:max val="41746"/>
          <c:min val="41716"/>
        </c:scaling>
        <c:delete val="0"/>
        <c:axPos val="t"/>
        <c:majorGridlines/>
        <c:numFmt formatCode="d\-mmm" sourceLinked="1"/>
        <c:majorTickMark val="out"/>
        <c:minorTickMark val="none"/>
        <c:tickLblPos val="nextTo"/>
        <c:crossAx val="79981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D560F-3873-4D44-A920-D91D9D18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24</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162</cp:revision>
  <dcterms:created xsi:type="dcterms:W3CDTF">2014-04-10T03:51:00Z</dcterms:created>
  <dcterms:modified xsi:type="dcterms:W3CDTF">2014-04-13T15:24:00Z</dcterms:modified>
</cp:coreProperties>
</file>