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605C88">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605C88">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605C88">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605C88">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605C88">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605C88">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proofErr w:type="spellStart"/>
      <w:r>
        <w:t>Hisyam</w:t>
      </w:r>
      <w:proofErr w:type="spellEnd"/>
      <w:r>
        <w:t xml:space="preserve"> </w:t>
      </w:r>
      <w:proofErr w:type="spellStart"/>
      <w:r>
        <w:t>Nursaid</w:t>
      </w:r>
      <w:proofErr w:type="spellEnd"/>
      <w:r>
        <w:t xml:space="preserve"> </w:t>
      </w:r>
      <w:proofErr w:type="gramStart"/>
      <w:r>
        <w:t>Indrakesuma(</w:t>
      </w:r>
      <w:proofErr w:type="gramEnd"/>
      <w:r>
        <w:t>A0098139R)</w:t>
      </w:r>
    </w:p>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C3FBF" w:rsidRPr="00BC3FBF" w:rsidRDefault="00605C88" w:rsidP="00BC3FBF">
      <w:pPr>
        <w:pStyle w:val="Heading1"/>
        <w:ind w:left="0"/>
      </w:pPr>
      <w:bookmarkStart w:id="5" w:name="_Toc384845074"/>
      <w:r>
        <w:t>4.3</w:t>
      </w:r>
      <w:r w:rsidR="00BC3FBF">
        <w:t xml:space="preserve"> Query Processor</w:t>
      </w:r>
      <w:bookmarkEnd w:id="5"/>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color w:val="auto"/>
        </w:rPr>
      </w:pPr>
      <w:r>
        <w:rPr>
          <w:color w:val="auto"/>
        </w:rPr>
        <w:t>4.3.1 Query processor</w:t>
      </w:r>
    </w:p>
    <w:p w:rsidR="00605C88" w:rsidRDefault="00605C88" w:rsidP="00605C88">
      <w:pPr>
        <w:ind w:left="0"/>
        <w:rPr>
          <w:color w:val="auto"/>
        </w:rPr>
      </w:pPr>
      <w:r>
        <w:rPr>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w:t>
      </w:r>
      <w:proofErr w:type="spellStart"/>
      <w:r w:rsidR="00F5578D">
        <w:rPr>
          <w:color w:val="auto"/>
        </w:rPr>
        <w:t>QueryParser</w:t>
      </w:r>
      <w:proofErr w:type="spellEnd"/>
      <w:r w:rsidR="00F5578D">
        <w:rPr>
          <w:color w:val="auto"/>
        </w:rPr>
        <w:t xml:space="preserve">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Default="00FE2EF2" w:rsidP="00F5578D">
      <w:pPr>
        <w:ind w:left="0"/>
        <w:jc w:val="both"/>
        <w:rPr>
          <w:color w:val="auto"/>
        </w:rPr>
      </w:pPr>
      <w:r>
        <w:rPr>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proofErr w:type="gramStart"/>
      <w:r>
        <w:rPr>
          <w:color w:val="auto"/>
        </w:rPr>
        <w:t>assign</w:t>
      </w:r>
      <w:proofErr w:type="gramEnd"/>
      <w:r>
        <w:rPr>
          <w:color w:val="auto"/>
        </w:rPr>
        <w:t xml:space="preserve"> a; while w; 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w:t>
      </w:r>
      <w:proofErr w:type="spellStart"/>
      <w:r w:rsidR="00BD1FF1">
        <w:rPr>
          <w:color w:val="auto"/>
        </w:rPr>
        <w:t>Qu</w:t>
      </w:r>
      <w:r w:rsidR="00674417">
        <w:rPr>
          <w:color w:val="auto"/>
        </w:rPr>
        <w:t>eryParser</w:t>
      </w:r>
      <w:proofErr w:type="spellEnd"/>
      <w:r w:rsidR="00674417">
        <w:rPr>
          <w:color w:val="auto"/>
        </w:rPr>
        <w:t xml:space="preserve">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w:t>
      </w:r>
      <w:proofErr w:type="spellStart"/>
      <w:r>
        <w:rPr>
          <w:color w:val="auto"/>
        </w:rPr>
        <w:t>x+y</w:t>
      </w:r>
      <w:proofErr w:type="spellEnd"/>
      <w:r>
        <w:rPr>
          <w:color w:val="auto"/>
        </w:rPr>
        <w:t>”_)</w:t>
      </w:r>
    </w:p>
    <w:p w:rsidR="00D11061" w:rsidRDefault="00D11061" w:rsidP="00D11061">
      <w:pPr>
        <w:ind w:left="0"/>
        <w:jc w:val="both"/>
        <w:rPr>
          <w:color w:val="auto"/>
        </w:rPr>
      </w:pPr>
      <w:proofErr w:type="gramStart"/>
      <w:r>
        <w:rPr>
          <w:color w:val="auto"/>
        </w:rPr>
        <w:lastRenderedPageBreak/>
        <w:t>The such-</w:t>
      </w:r>
      <w:proofErr w:type="gramEnd"/>
      <w:r>
        <w:rPr>
          <w:color w:val="auto"/>
        </w:rPr>
        <w:t>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Default="00CA180C" w:rsidP="00CA180C">
            <w:pPr>
              <w:ind w:left="0"/>
              <w:rPr>
                <w:color w:val="auto"/>
              </w:rPr>
            </w:pPr>
            <w:r>
              <w:rPr>
                <w:color w:val="auto"/>
              </w:rPr>
              <w:t>tokens[]</w:t>
            </w:r>
          </w:p>
        </w:tc>
      </w:tr>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Default="00CA180C" w:rsidP="00CA180C">
            <w:pPr>
              <w:ind w:left="0"/>
              <w:rPr>
                <w:color w:val="auto"/>
              </w:rPr>
            </w:pPr>
            <w:r>
              <w:rPr>
                <w:color w:val="auto"/>
              </w:rPr>
              <w:t>tokens[]</w:t>
            </w:r>
          </w:p>
        </w:tc>
      </w:tr>
      <w:tr w:rsidR="007F3710" w:rsidTr="00CA180C">
        <w:trPr>
          <w:trHeight w:val="322"/>
          <w:jc w:val="center"/>
        </w:trPr>
        <w:tc>
          <w:tcPr>
            <w:tcW w:w="835" w:type="dxa"/>
            <w:tcBorders>
              <w:top w:val="single" w:sz="4" w:space="0" w:color="auto"/>
            </w:tcBorders>
            <w:vAlign w:val="center"/>
          </w:tcPr>
          <w:p w:rsidR="007F3710" w:rsidRDefault="007F3710" w:rsidP="007F3710">
            <w:pPr>
              <w:ind w:left="0"/>
              <w:jc w:val="center"/>
              <w:rPr>
                <w:color w:val="auto"/>
              </w:rPr>
            </w:pPr>
            <w:r>
              <w:rPr>
                <w:color w:val="auto"/>
              </w:rPr>
              <w:t>pattern</w:t>
            </w:r>
          </w:p>
        </w:tc>
        <w:tc>
          <w:tcPr>
            <w:tcW w:w="835" w:type="dxa"/>
            <w:tcBorders>
              <w:top w:val="single" w:sz="4" w:space="0" w:color="auto"/>
            </w:tcBorders>
            <w:vAlign w:val="center"/>
          </w:tcPr>
          <w:p w:rsidR="007F3710" w:rsidRDefault="007F3710" w:rsidP="007F3710">
            <w:pPr>
              <w:ind w:left="0"/>
              <w:jc w:val="center"/>
              <w:rPr>
                <w:color w:val="auto"/>
              </w:rPr>
            </w:pPr>
            <w:r>
              <w:rPr>
                <w:color w:val="auto"/>
              </w:rPr>
              <w:t>a</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35" w:type="dxa"/>
            <w:tcBorders>
              <w:top w:val="single" w:sz="4" w:space="0" w:color="auto"/>
            </w:tcBorders>
            <w:vAlign w:val="center"/>
          </w:tcPr>
          <w:p w:rsidR="007F3710" w:rsidRDefault="007F3710" w:rsidP="007F3710">
            <w:pPr>
              <w:ind w:left="0"/>
              <w:jc w:val="center"/>
              <w:rPr>
                <w:color w:val="auto"/>
              </w:rPr>
            </w:pPr>
            <w:r>
              <w:rPr>
                <w:color w:val="auto"/>
              </w:rPr>
              <w:t>“x”</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84" w:type="dxa"/>
            <w:tcBorders>
              <w:top w:val="single" w:sz="4" w:space="0" w:color="auto"/>
            </w:tcBorders>
            <w:vAlign w:val="center"/>
          </w:tcPr>
          <w:p w:rsidR="007F3710" w:rsidRDefault="007F3710" w:rsidP="007F3710">
            <w:pPr>
              <w:ind w:left="0"/>
              <w:jc w:val="center"/>
              <w:rPr>
                <w:color w:val="auto"/>
              </w:rPr>
            </w:pPr>
            <w:r>
              <w:rPr>
                <w:color w:val="auto"/>
              </w:rPr>
              <w:t>_”</w:t>
            </w:r>
            <w:proofErr w:type="spellStart"/>
            <w:r>
              <w:rPr>
                <w:color w:val="auto"/>
              </w:rPr>
              <w:t>x+y</w:t>
            </w:r>
            <w:proofErr w:type="spellEnd"/>
            <w:r>
              <w:rPr>
                <w:color w:val="auto"/>
              </w:rPr>
              <w:t>”_</w:t>
            </w:r>
          </w:p>
        </w:tc>
        <w:tc>
          <w:tcPr>
            <w:tcW w:w="884" w:type="dxa"/>
            <w:tcBorders>
              <w:top w:val="single" w:sz="4" w:space="0" w:color="auto"/>
            </w:tcBorders>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proofErr w:type="spellStart"/>
      <w:r w:rsidR="00273744">
        <w:rPr>
          <w:i/>
          <w:color w:val="auto"/>
        </w:rPr>
        <w:t>selectStatement</w:t>
      </w:r>
      <w:proofErr w:type="spellEnd"/>
      <w:r>
        <w:rPr>
          <w:color w:val="auto"/>
        </w:rPr>
        <w:t>. This vector is the one that will be accessed by the parsing function later on.</w:t>
      </w:r>
      <w:r w:rsidR="00273744">
        <w:rPr>
          <w:color w:val="auto"/>
        </w:rPr>
        <w:t xml:space="preserve"> For efficiency, the </w:t>
      </w:r>
      <w:proofErr w:type="spellStart"/>
      <w:r w:rsidR="00273744">
        <w:rPr>
          <w:i/>
          <w:color w:val="auto"/>
        </w:rPr>
        <w:t>selectStatement</w:t>
      </w:r>
      <w:proofErr w:type="spellEnd"/>
      <w:r w:rsidR="00273744">
        <w:rPr>
          <w:i/>
          <w:color w:val="auto"/>
        </w:rPr>
        <w:t xml:space="preserve">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proofErr w:type="spellStart"/>
      <w:r w:rsidRPr="00273744">
        <w:rPr>
          <w:i/>
          <w:color w:val="auto"/>
        </w:rPr>
        <w:t>selectStatement</w:t>
      </w:r>
      <w:proofErr w:type="spellEnd"/>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CA180C" w:rsidTr="00CA180C">
        <w:trPr>
          <w:trHeight w:val="322"/>
        </w:trPr>
        <w:tc>
          <w:tcPr>
            <w:tcW w:w="9302" w:type="dxa"/>
            <w:gridSpan w:val="10"/>
            <w:tcBorders>
              <w:top w:val="nil"/>
              <w:left w:val="nil"/>
              <w:bottom w:val="single" w:sz="4" w:space="0" w:color="auto"/>
              <w:right w:val="nil"/>
            </w:tcBorders>
            <w:vAlign w:val="center"/>
          </w:tcPr>
          <w:p w:rsidR="00CA180C" w:rsidRDefault="00CA180C" w:rsidP="00CA180C">
            <w:pPr>
              <w:ind w:left="0"/>
              <w:rPr>
                <w:color w:val="auto"/>
              </w:rPr>
            </w:pPr>
            <w:proofErr w:type="spellStart"/>
            <w:r>
              <w:rPr>
                <w:color w:val="auto"/>
              </w:rPr>
              <w:t>selectStatement</w:t>
            </w:r>
            <w:proofErr w:type="spellEnd"/>
            <w:r>
              <w:rPr>
                <w:color w:val="auto"/>
              </w:rPr>
              <w:t>[]</w:t>
            </w:r>
          </w:p>
        </w:tc>
      </w:tr>
      <w:tr w:rsidR="00273744" w:rsidTr="00CA180C">
        <w:trPr>
          <w:trHeight w:val="322"/>
        </w:trPr>
        <w:tc>
          <w:tcPr>
            <w:tcW w:w="930" w:type="dxa"/>
            <w:tcBorders>
              <w:top w:val="single" w:sz="4" w:space="0" w:color="auto"/>
            </w:tcBorders>
            <w:vAlign w:val="center"/>
          </w:tcPr>
          <w:p w:rsidR="00273744" w:rsidRDefault="00273744" w:rsidP="006C6D1F">
            <w:pPr>
              <w:ind w:left="0"/>
              <w:jc w:val="center"/>
              <w:rPr>
                <w:color w:val="auto"/>
              </w:rPr>
            </w:pPr>
            <w:r>
              <w:rPr>
                <w:color w:val="auto"/>
              </w:rPr>
              <w:t>Select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such</w:t>
            </w:r>
          </w:p>
        </w:tc>
        <w:tc>
          <w:tcPr>
            <w:tcW w:w="930" w:type="dxa"/>
            <w:tcBorders>
              <w:top w:val="single" w:sz="4" w:space="0" w:color="auto"/>
            </w:tcBorders>
            <w:vAlign w:val="center"/>
          </w:tcPr>
          <w:p w:rsidR="00273744" w:rsidRDefault="00273744" w:rsidP="006C6D1F">
            <w:pPr>
              <w:ind w:left="0"/>
              <w:jc w:val="center"/>
              <w:rPr>
                <w:color w:val="auto"/>
              </w:rPr>
            </w:pPr>
            <w:r>
              <w:rPr>
                <w:color w:val="auto"/>
              </w:rPr>
              <w:t>that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Follows</w:t>
            </w:r>
          </w:p>
        </w:tc>
        <w:tc>
          <w:tcPr>
            <w:tcW w:w="930" w:type="dxa"/>
            <w:tcBorders>
              <w:top w:val="single" w:sz="4" w:space="0" w:color="auto"/>
            </w:tcBorders>
            <w:vAlign w:val="center"/>
          </w:tcPr>
          <w:p w:rsidR="00273744" w:rsidRDefault="00273744" w:rsidP="006C6D1F">
            <w:pPr>
              <w:ind w:left="0"/>
              <w:jc w:val="center"/>
              <w:rPr>
                <w:color w:val="auto"/>
              </w:rPr>
            </w:pPr>
            <w:r>
              <w:rPr>
                <w:color w:val="auto"/>
              </w:rPr>
              <w:t>w</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pattern</w:t>
            </w:r>
          </w:p>
        </w:tc>
        <w:tc>
          <w:tcPr>
            <w:tcW w:w="931" w:type="dxa"/>
            <w:tcBorders>
              <w:top w:val="single" w:sz="4" w:space="0" w:color="auto"/>
            </w:tcBorders>
            <w:vAlign w:val="center"/>
          </w:tcPr>
          <w:p w:rsidR="00273744" w:rsidRDefault="00273744" w:rsidP="006C6D1F">
            <w:pPr>
              <w:ind w:left="0"/>
              <w:jc w:val="center"/>
              <w:rPr>
                <w:color w:val="auto"/>
              </w:rPr>
            </w:pPr>
            <w:r>
              <w:rPr>
                <w:color w:val="auto"/>
              </w:rPr>
              <w:t>x</w:t>
            </w:r>
          </w:p>
        </w:tc>
        <w:tc>
          <w:tcPr>
            <w:tcW w:w="931" w:type="dxa"/>
            <w:tcBorders>
              <w:top w:val="single" w:sz="4" w:space="0" w:color="auto"/>
            </w:tcBorders>
            <w:vAlign w:val="center"/>
          </w:tcPr>
          <w:p w:rsidR="00273744" w:rsidRDefault="006C6D1F" w:rsidP="006C6D1F">
            <w:pPr>
              <w:ind w:left="0"/>
              <w:jc w:val="center"/>
              <w:rPr>
                <w:color w:val="auto"/>
              </w:rPr>
            </w:pPr>
            <w:r>
              <w:rPr>
                <w:color w:val="auto"/>
              </w:rPr>
              <w:t>_”</w:t>
            </w:r>
            <w:proofErr w:type="spellStart"/>
            <w:r>
              <w:rPr>
                <w:color w:val="auto"/>
              </w:rPr>
              <w:t>x+y</w:t>
            </w:r>
            <w:proofErr w:type="spellEnd"/>
            <w:r>
              <w:rPr>
                <w:color w:val="auto"/>
              </w:rPr>
              <w:t>”_</w:t>
            </w:r>
          </w:p>
        </w:tc>
      </w:tr>
    </w:tbl>
    <w:p w:rsidR="00273744" w:rsidRPr="00273744" w:rsidRDefault="00273744" w:rsidP="00F5578D">
      <w:pPr>
        <w:ind w:left="0"/>
        <w:jc w:val="both"/>
        <w:rPr>
          <w:color w:val="auto"/>
        </w:rPr>
      </w:pPr>
    </w:p>
    <w:p w:rsidR="00FE2EF2" w:rsidRDefault="00FE2EF2" w:rsidP="00F5578D">
      <w:pPr>
        <w:ind w:left="0"/>
        <w:jc w:val="both"/>
        <w:rPr>
          <w:color w:val="auto"/>
        </w:rPr>
      </w:pPr>
      <w:r>
        <w:rPr>
          <w:color w:val="auto"/>
        </w:rPr>
        <w:t>4.3.2.2 Query Parsing</w:t>
      </w:r>
    </w:p>
    <w:p w:rsidR="00890313" w:rsidRDefault="00890313" w:rsidP="00F5578D">
      <w:pPr>
        <w:ind w:left="0"/>
        <w:jc w:val="both"/>
        <w:rPr>
          <w:color w:val="auto"/>
        </w:rPr>
      </w:pPr>
      <w:r>
        <w:rPr>
          <w:color w:val="auto"/>
        </w:rPr>
        <w:t xml:space="preserve">The parser processes </w:t>
      </w:r>
      <w:r w:rsidR="00CA180C">
        <w:rPr>
          <w:color w:val="auto"/>
        </w:rPr>
        <w:t>two objects from the earlier validation which are th</w:t>
      </w:r>
      <w:r w:rsidR="00247CE2">
        <w:rPr>
          <w:color w:val="auto"/>
        </w:rPr>
        <w:t>e declaration string and select-</w:t>
      </w:r>
      <w:r w:rsidR="00CA180C">
        <w:rPr>
          <w:color w:val="auto"/>
        </w:rPr>
        <w:t>statement vector. The declaration string will be converted into a table that maps each synonym with its type.</w:t>
      </w:r>
    </w:p>
    <w:p w:rsidR="00CA180C" w:rsidRDefault="00CA180C" w:rsidP="00F5578D">
      <w:pPr>
        <w:ind w:left="0"/>
        <w:jc w:val="both"/>
        <w:rPr>
          <w:color w:val="auto"/>
        </w:rPr>
      </w:pPr>
      <w:r>
        <w:rPr>
          <w:color w:val="auto"/>
        </w:rPr>
        <w:t xml:space="preserve">As an example, the declaration string from the query above, “assign a while w”, will be tokenized again to produce the following synonym </w:t>
      </w:r>
      <w:r w:rsidR="00510ED1">
        <w:rPr>
          <w:color w:val="auto"/>
        </w:rPr>
        <w:t>table</w:t>
      </w:r>
      <w:r>
        <w:rPr>
          <w:color w:val="auto"/>
        </w:rPr>
        <w:t>:</w:t>
      </w:r>
    </w:p>
    <w:tbl>
      <w:tblPr>
        <w:tblStyle w:val="TableGrid"/>
        <w:tblW w:w="0" w:type="auto"/>
        <w:jc w:val="center"/>
        <w:tblLook w:val="04A0" w:firstRow="1" w:lastRow="0" w:firstColumn="1" w:lastColumn="0" w:noHBand="0" w:noVBand="1"/>
      </w:tblPr>
      <w:tblGrid>
        <w:gridCol w:w="1516"/>
        <w:gridCol w:w="1516"/>
      </w:tblGrid>
      <w:tr w:rsidR="00CA180C" w:rsidTr="00510ED1">
        <w:trPr>
          <w:trHeight w:val="275"/>
          <w:jc w:val="center"/>
        </w:trPr>
        <w:tc>
          <w:tcPr>
            <w:tcW w:w="1516" w:type="dxa"/>
            <w:shd w:val="clear" w:color="auto" w:fill="D9D9D9" w:themeFill="background1" w:themeFillShade="D9"/>
            <w:vAlign w:val="center"/>
          </w:tcPr>
          <w:p w:rsidR="00CA180C" w:rsidRDefault="00CA180C" w:rsidP="00CA180C">
            <w:pPr>
              <w:ind w:left="0"/>
              <w:jc w:val="center"/>
              <w:rPr>
                <w:color w:val="auto"/>
              </w:rPr>
            </w:pPr>
            <w:r>
              <w:rPr>
                <w:color w:val="auto"/>
              </w:rPr>
              <w:t>Synonym</w:t>
            </w:r>
          </w:p>
        </w:tc>
        <w:tc>
          <w:tcPr>
            <w:tcW w:w="1516" w:type="dxa"/>
            <w:shd w:val="clear" w:color="auto" w:fill="D9D9D9" w:themeFill="background1" w:themeFillShade="D9"/>
            <w:vAlign w:val="center"/>
          </w:tcPr>
          <w:p w:rsidR="00CA180C" w:rsidRDefault="00CA180C" w:rsidP="00CA180C">
            <w:pPr>
              <w:ind w:left="0"/>
              <w:jc w:val="center"/>
              <w:rPr>
                <w:color w:val="auto"/>
              </w:rPr>
            </w:pPr>
            <w:r>
              <w:rPr>
                <w:color w:val="auto"/>
              </w:rPr>
              <w:t>Type</w:t>
            </w:r>
          </w:p>
        </w:tc>
      </w:tr>
      <w:tr w:rsidR="00CA180C" w:rsidTr="00510ED1">
        <w:trPr>
          <w:trHeight w:val="275"/>
          <w:jc w:val="center"/>
        </w:trPr>
        <w:tc>
          <w:tcPr>
            <w:tcW w:w="1516" w:type="dxa"/>
            <w:vAlign w:val="center"/>
          </w:tcPr>
          <w:p w:rsidR="00CA180C" w:rsidRDefault="00CA180C" w:rsidP="00CA180C">
            <w:pPr>
              <w:ind w:left="0"/>
              <w:jc w:val="center"/>
              <w:rPr>
                <w:color w:val="auto"/>
              </w:rPr>
            </w:pPr>
            <w:r>
              <w:rPr>
                <w:color w:val="auto"/>
              </w:rPr>
              <w:t>a</w:t>
            </w:r>
          </w:p>
        </w:tc>
        <w:tc>
          <w:tcPr>
            <w:tcW w:w="1516" w:type="dxa"/>
            <w:vAlign w:val="center"/>
          </w:tcPr>
          <w:p w:rsidR="00CA180C" w:rsidRDefault="00CA180C" w:rsidP="00CA180C">
            <w:pPr>
              <w:ind w:left="0"/>
              <w:jc w:val="center"/>
              <w:rPr>
                <w:color w:val="auto"/>
              </w:rPr>
            </w:pPr>
            <w:r>
              <w:rPr>
                <w:color w:val="auto"/>
              </w:rPr>
              <w:t>ASSIGN</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w</w:t>
            </w:r>
          </w:p>
        </w:tc>
        <w:tc>
          <w:tcPr>
            <w:tcW w:w="1516" w:type="dxa"/>
            <w:vAlign w:val="center"/>
          </w:tcPr>
          <w:p w:rsidR="00CA180C" w:rsidRDefault="00CA180C" w:rsidP="00CA180C">
            <w:pPr>
              <w:ind w:left="0"/>
              <w:jc w:val="center"/>
              <w:rPr>
                <w:color w:val="auto"/>
              </w:rPr>
            </w:pPr>
            <w:r>
              <w:rPr>
                <w:color w:val="auto"/>
              </w:rPr>
              <w:t>WHILE</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BOOLEAN</w:t>
            </w:r>
          </w:p>
        </w:tc>
        <w:tc>
          <w:tcPr>
            <w:tcW w:w="1516" w:type="dxa"/>
            <w:vAlign w:val="center"/>
          </w:tcPr>
          <w:p w:rsidR="00CA180C" w:rsidRDefault="00CA180C" w:rsidP="00CA180C">
            <w:pPr>
              <w:ind w:left="0"/>
              <w:jc w:val="center"/>
              <w:rPr>
                <w:color w:val="auto"/>
              </w:rPr>
            </w:pPr>
            <w:r>
              <w:rPr>
                <w:color w:val="auto"/>
              </w:rPr>
              <w:t>BOOLEAN</w:t>
            </w:r>
          </w:p>
        </w:tc>
      </w:tr>
    </w:tbl>
    <w:p w:rsidR="00510ED1" w:rsidRDefault="00510ED1" w:rsidP="00510ED1">
      <w:pPr>
        <w:spacing w:after="0"/>
        <w:ind w:left="0"/>
        <w:jc w:val="both"/>
        <w:rPr>
          <w:color w:val="auto"/>
        </w:rPr>
      </w:pPr>
    </w:p>
    <w:p w:rsidR="00CA180C" w:rsidRDefault="00510ED1" w:rsidP="00F5578D">
      <w:pPr>
        <w:ind w:left="0"/>
        <w:jc w:val="both"/>
        <w:rPr>
          <w:color w:val="auto"/>
        </w:rPr>
      </w:pPr>
      <w:r>
        <w:rPr>
          <w:color w:val="auto"/>
        </w:rPr>
        <w:t>This enables easy look up when the query evaluator evaluates the query. Note that the BOOLEAN type always exists in the synonym table because user can use “BOOLEAN” in his select statement without any declaration.</w:t>
      </w:r>
    </w:p>
    <w:p w:rsidR="00247CE2" w:rsidRDefault="00247CE2" w:rsidP="00F5578D">
      <w:pPr>
        <w:ind w:left="0"/>
        <w:jc w:val="both"/>
        <w:rPr>
          <w:color w:val="auto"/>
        </w:rPr>
      </w:pPr>
      <w:r>
        <w:rPr>
          <w:color w:val="auto"/>
        </w:rP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Default="00247CE2" w:rsidP="00247CE2">
            <w:pPr>
              <w:ind w:left="0"/>
              <w:jc w:val="center"/>
              <w:rPr>
                <w:color w:val="auto"/>
              </w:rPr>
            </w:pPr>
            <w:r>
              <w:rPr>
                <w:color w:val="auto"/>
              </w:rPr>
              <w:t>Query</w:t>
            </w:r>
          </w:p>
        </w:tc>
      </w:tr>
      <w:tr w:rsidR="00247CE2" w:rsidTr="00247CE2">
        <w:trPr>
          <w:trHeight w:val="575"/>
        </w:trPr>
        <w:tc>
          <w:tcPr>
            <w:tcW w:w="3463" w:type="dxa"/>
            <w:vAlign w:val="center"/>
          </w:tcPr>
          <w:p w:rsidR="00247CE2" w:rsidRDefault="00247CE2" w:rsidP="00247CE2">
            <w:pPr>
              <w:ind w:left="0"/>
              <w:jc w:val="center"/>
              <w:rPr>
                <w:color w:val="auto"/>
              </w:rPr>
            </w:pPr>
            <w:r w:rsidRPr="00247CE2">
              <w:rPr>
                <w:i/>
                <w:color w:val="auto"/>
              </w:rPr>
              <w:t>string</w:t>
            </w:r>
            <w:r>
              <w:rPr>
                <w:color w:val="auto"/>
              </w:rPr>
              <w:t xml:space="preserve"> selected-synonym</w:t>
            </w:r>
          </w:p>
          <w:p w:rsidR="00247CE2" w:rsidRDefault="00247CE2" w:rsidP="00247CE2">
            <w:pPr>
              <w:ind w:left="0"/>
              <w:jc w:val="center"/>
              <w:rPr>
                <w:color w:val="auto"/>
              </w:rPr>
            </w:pPr>
            <w:r w:rsidRPr="00247CE2">
              <w:rPr>
                <w:i/>
                <w:color w:val="auto"/>
              </w:rPr>
              <w:t>vector&lt;Relationship&gt;</w:t>
            </w:r>
            <w:r>
              <w:rPr>
                <w:color w:val="auto"/>
              </w:rPr>
              <w:t xml:space="preserve"> relationships</w:t>
            </w:r>
          </w:p>
        </w:tc>
      </w:tr>
    </w:tbl>
    <w:p w:rsidR="00247CE2" w:rsidRPr="00605C88" w:rsidRDefault="00247CE2" w:rsidP="00F5578D">
      <w:pPr>
        <w:ind w:left="0"/>
        <w:jc w:val="both"/>
        <w:rPr>
          <w:color w:val="auto"/>
        </w:rPr>
      </w:pPr>
      <w:bookmarkStart w:id="6" w:name="_GoBack"/>
      <w:bookmarkEnd w:id="6"/>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BC3FBF">
      <w:pPr>
        <w:pStyle w:val="Title"/>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lastRenderedPageBreak/>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 xml:space="preserve">ch is used to unit test our </w:t>
      </w:r>
      <w:proofErr w:type="spellStart"/>
      <w:r w:rsidR="00E20C46">
        <w:rPr>
          <w:color w:val="000000" w:themeColor="text1"/>
          <w:sz w:val="24"/>
          <w:szCs w:val="24"/>
        </w:rPr>
        <w:t>AST</w:t>
      </w:r>
      <w:r>
        <w:rPr>
          <w:color w:val="000000" w:themeColor="text1"/>
          <w:sz w:val="24"/>
          <w:szCs w:val="24"/>
        </w:rPr>
        <w:t>Node</w:t>
      </w:r>
      <w:proofErr w:type="spellEnd"/>
      <w:r>
        <w:rPr>
          <w:color w:val="000000" w:themeColor="text1"/>
          <w:sz w:val="24"/>
          <w:szCs w:val="24"/>
        </w:rPr>
        <w:t xml:space="preserv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lastRenderedPageBreak/>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 xml:space="preserve">methods involved in parsing the queries into </w:t>
      </w:r>
      <w:proofErr w:type="spellStart"/>
      <w:r w:rsidR="00E20C46">
        <w:rPr>
          <w:color w:val="000000" w:themeColor="text1"/>
          <w:sz w:val="24"/>
          <w:szCs w:val="24"/>
        </w:rPr>
        <w:t>QueryTree</w:t>
      </w:r>
      <w:proofErr w:type="spellEnd"/>
      <w:r w:rsidR="00E20C46">
        <w:rPr>
          <w:color w:val="000000" w:themeColor="text1"/>
          <w:sz w:val="24"/>
          <w:szCs w:val="24"/>
        </w:rPr>
        <w:t xml:space="preserve"> objects.</w:t>
      </w:r>
    </w:p>
    <w:p w:rsidR="000E60A6" w:rsidRPr="00E20C46" w:rsidRDefault="00E20C46" w:rsidP="00E20C46">
      <w:pPr>
        <w:ind w:left="0"/>
        <w:rPr>
          <w:color w:val="000000" w:themeColor="text1"/>
          <w:sz w:val="24"/>
          <w:szCs w:val="24"/>
        </w:rPr>
      </w:pPr>
      <w:r>
        <w:rPr>
          <w:color w:val="000000" w:themeColor="text1"/>
          <w:sz w:val="24"/>
          <w:szCs w:val="24"/>
        </w:rPr>
        <w:t xml:space="preserve">For the PKB, every single implemented </w:t>
      </w:r>
      <w:proofErr w:type="gramStart"/>
      <w:r>
        <w:rPr>
          <w:color w:val="000000" w:themeColor="text1"/>
          <w:sz w:val="24"/>
          <w:szCs w:val="24"/>
        </w:rPr>
        <w:t>relationship(</w:t>
      </w:r>
      <w:proofErr w:type="gramEnd"/>
      <w:r>
        <w:rPr>
          <w:color w:val="000000" w:themeColor="text1"/>
          <w:sz w:val="24"/>
          <w:szCs w:val="24"/>
        </w:rPr>
        <w:t xml:space="preserve">Parent, Follows, Uses, and Modifies) has a </w:t>
      </w:r>
      <w:proofErr w:type="spellStart"/>
      <w:r>
        <w:rPr>
          <w:color w:val="000000" w:themeColor="text1"/>
          <w:sz w:val="24"/>
          <w:szCs w:val="24"/>
        </w:rPr>
        <w:t>UnitTest</w:t>
      </w:r>
      <w:proofErr w:type="spellEnd"/>
      <w:r>
        <w:rPr>
          <w:color w:val="000000" w:themeColor="text1"/>
          <w:sz w:val="24"/>
          <w:szCs w:val="24"/>
        </w:rPr>
        <w:t xml:space="preserve"> specific to the relationship.</w:t>
      </w:r>
    </w:p>
    <w:p w:rsidR="000E60A6" w:rsidRDefault="000E60A6" w:rsidP="000E60A6">
      <w:pPr>
        <w:pStyle w:val="Heading1"/>
        <w:ind w:left="0"/>
      </w:pPr>
      <w:bookmarkStart w:id="10" w:name="_Toc384845077"/>
      <w:r>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 xml:space="preserve">testing was executed by running test cases using the </w:t>
      </w:r>
      <w:proofErr w:type="spellStart"/>
      <w:r>
        <w:rPr>
          <w:color w:val="000000" w:themeColor="text1"/>
          <w:sz w:val="24"/>
          <w:szCs w:val="24"/>
        </w:rPr>
        <w:t>AutoTester</w:t>
      </w:r>
      <w:proofErr w:type="spellEnd"/>
      <w:r>
        <w:rPr>
          <w:color w:val="000000" w:themeColor="text1"/>
          <w:sz w:val="24"/>
          <w:szCs w:val="24"/>
        </w:rP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 xml:space="preserve">the </w:t>
            </w:r>
            <w:proofErr w:type="spellStart"/>
            <w:r>
              <w:rPr>
                <w:rFonts w:ascii="Trebuchet MS" w:eastAsia="Times New Roman" w:hAnsi="Trebuchet MS" w:cs="Times New Roman"/>
                <w:color w:val="000000"/>
                <w:sz w:val="24"/>
                <w:szCs w:val="24"/>
                <w:lang w:eastAsia="en-SG"/>
              </w:rPr>
              <w:t>i</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lastRenderedPageBreak/>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 xml:space="preserve">error </w:t>
            </w:r>
            <w:r>
              <w:rPr>
                <w:rFonts w:ascii="Trebuchet MS" w:eastAsia="Times New Roman" w:hAnsi="Trebuchet MS" w:cs="Times New Roman"/>
                <w:color w:val="000000"/>
                <w:sz w:val="24"/>
                <w:szCs w:val="24"/>
                <w:lang w:eastAsia="en-SG"/>
              </w:rPr>
              <w:lastRenderedPageBreak/>
              <w:t>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lastRenderedPageBreak/>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lastRenderedPageBreak/>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lastRenderedPageBreak/>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lastRenderedPageBreak/>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B584F"/>
    <w:rsid w:val="001B5D38"/>
    <w:rsid w:val="001D0AFD"/>
    <w:rsid w:val="001D5705"/>
    <w:rsid w:val="00205EE9"/>
    <w:rsid w:val="00213297"/>
    <w:rsid w:val="00216153"/>
    <w:rsid w:val="00247CE2"/>
    <w:rsid w:val="00255FA2"/>
    <w:rsid w:val="00273744"/>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403848"/>
    <w:rsid w:val="00425A22"/>
    <w:rsid w:val="00435A53"/>
    <w:rsid w:val="0045486D"/>
    <w:rsid w:val="00474CAB"/>
    <w:rsid w:val="004905DC"/>
    <w:rsid w:val="004B6166"/>
    <w:rsid w:val="004E17C9"/>
    <w:rsid w:val="004E4F78"/>
    <w:rsid w:val="004F07DF"/>
    <w:rsid w:val="004F40F6"/>
    <w:rsid w:val="00510ED1"/>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76A9A"/>
    <w:rsid w:val="007854A8"/>
    <w:rsid w:val="007959C6"/>
    <w:rsid w:val="007B73F7"/>
    <w:rsid w:val="007E04C9"/>
    <w:rsid w:val="007F3710"/>
    <w:rsid w:val="00815186"/>
    <w:rsid w:val="00816620"/>
    <w:rsid w:val="00816C25"/>
    <w:rsid w:val="00865B09"/>
    <w:rsid w:val="008853B4"/>
    <w:rsid w:val="00890313"/>
    <w:rsid w:val="008961D2"/>
    <w:rsid w:val="008B1C2B"/>
    <w:rsid w:val="008B2F6E"/>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C26C2B"/>
    <w:rsid w:val="00C52B22"/>
    <w:rsid w:val="00C828B5"/>
    <w:rsid w:val="00C84068"/>
    <w:rsid w:val="00C9182F"/>
    <w:rsid w:val="00C951D0"/>
    <w:rsid w:val="00CA180C"/>
    <w:rsid w:val="00CC64F7"/>
    <w:rsid w:val="00CD36E2"/>
    <w:rsid w:val="00CE65E7"/>
    <w:rsid w:val="00CF07E7"/>
    <w:rsid w:val="00D11061"/>
    <w:rsid w:val="00D11E4D"/>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88376832"/>
        <c:axId val="90476928"/>
      </c:barChart>
      <c:catAx>
        <c:axId val="88376832"/>
        <c:scaling>
          <c:orientation val="maxMin"/>
        </c:scaling>
        <c:delete val="0"/>
        <c:axPos val="l"/>
        <c:majorTickMark val="out"/>
        <c:minorTickMark val="none"/>
        <c:tickLblPos val="nextTo"/>
        <c:crossAx val="90476928"/>
        <c:crosses val="autoZero"/>
        <c:auto val="1"/>
        <c:lblAlgn val="ctr"/>
        <c:lblOffset val="100"/>
        <c:noMultiLvlLbl val="0"/>
      </c:catAx>
      <c:valAx>
        <c:axId val="90476928"/>
        <c:scaling>
          <c:orientation val="minMax"/>
          <c:max val="41746"/>
          <c:min val="41716"/>
        </c:scaling>
        <c:delete val="0"/>
        <c:axPos val="t"/>
        <c:majorGridlines/>
        <c:numFmt formatCode="d\-mmm" sourceLinked="1"/>
        <c:majorTickMark val="out"/>
        <c:minorTickMark val="none"/>
        <c:tickLblPos val="nextTo"/>
        <c:crossAx val="883768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AE2A5-8CDD-4534-B2A7-745AC65A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26</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Adinda Savitri</cp:lastModifiedBy>
  <cp:revision>174</cp:revision>
  <dcterms:created xsi:type="dcterms:W3CDTF">2014-04-10T03:51:00Z</dcterms:created>
  <dcterms:modified xsi:type="dcterms:W3CDTF">2014-04-14T03:52:00Z</dcterms:modified>
</cp:coreProperties>
</file>