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BF" w:rsidRDefault="00FE6CBF" w:rsidP="00FE6CBF">
      <w:pPr>
        <w:pStyle w:val="Title"/>
        <w:jc w:val="center"/>
      </w:pPr>
      <w:r>
        <w:t>Part-of-speech Tagg</w:t>
      </w:r>
      <w:r w:rsidR="002A48C6">
        <w:t>er</w:t>
      </w:r>
    </w:p>
    <w:p w:rsidR="00482E00" w:rsidRDefault="00523142" w:rsidP="00F5106D">
      <w:pPr>
        <w:pStyle w:val="Heading1"/>
        <w:numPr>
          <w:ilvl w:val="0"/>
          <w:numId w:val="1"/>
        </w:numPr>
      </w:pPr>
      <w:r>
        <w:t>Introduction</w:t>
      </w:r>
    </w:p>
    <w:p w:rsidR="00523142" w:rsidRDefault="00E07846" w:rsidP="00DE4D9F">
      <w:pPr>
        <w:jc w:val="both"/>
      </w:pPr>
      <w:r>
        <w:t>A</w:t>
      </w:r>
      <w:r w:rsidR="00523142">
        <w:t xml:space="preserve"> </w:t>
      </w:r>
      <w:r w:rsidR="001647AE">
        <w:t xml:space="preserve">Stochastic </w:t>
      </w:r>
      <w:r w:rsidR="002A1C1F">
        <w:t>(HMM)</w:t>
      </w:r>
      <w:r w:rsidR="002A1C1F">
        <w:rPr>
          <w:rStyle w:val="FootnoteReference"/>
        </w:rPr>
        <w:footnoteReference w:id="1"/>
      </w:r>
      <w:r w:rsidR="002A1C1F">
        <w:t xml:space="preserve"> </w:t>
      </w:r>
      <w:r w:rsidR="00523142">
        <w:t xml:space="preserve">POS </w:t>
      </w:r>
      <w:r w:rsidR="002A1C1F">
        <w:t xml:space="preserve">bigram </w:t>
      </w:r>
      <w:r w:rsidR="00523142">
        <w:t>tagger</w:t>
      </w:r>
      <w:r w:rsidR="001647AE">
        <w:t xml:space="preserve"> </w:t>
      </w:r>
      <w:r>
        <w:t xml:space="preserve">was developed </w:t>
      </w:r>
      <w:r w:rsidR="00523142">
        <w:t>in</w:t>
      </w:r>
      <w:r>
        <w:t xml:space="preserve"> C++ using Penn Treebank tag set</w:t>
      </w:r>
      <w:r w:rsidR="00523142">
        <w:t>.</w:t>
      </w:r>
      <w:r w:rsidR="001647AE">
        <w:t xml:space="preserve"> Viterbi algorithm which runs in </w:t>
      </w:r>
      <w:proofErr w:type="gramStart"/>
      <w:r w:rsidR="001647AE">
        <w:t>O(</w:t>
      </w:r>
      <w:proofErr w:type="gramEnd"/>
      <w:r w:rsidR="001647AE">
        <w:t>T.N²)</w:t>
      </w:r>
      <w:r w:rsidR="00210F44">
        <w:rPr>
          <w:rStyle w:val="FootnoteReference"/>
        </w:rPr>
        <w:footnoteReference w:id="2"/>
      </w:r>
      <w:r w:rsidR="001647AE">
        <w:t xml:space="preserve"> </w:t>
      </w:r>
      <w:r>
        <w:t xml:space="preserve">was implemented </w:t>
      </w:r>
      <w:r w:rsidR="001647AE">
        <w:t xml:space="preserve">to find the optimal sequence of </w:t>
      </w:r>
      <w:r w:rsidR="006769C9">
        <w:t xml:space="preserve">the </w:t>
      </w:r>
      <w:r w:rsidR="001647AE">
        <w:t xml:space="preserve">most probable tags. </w:t>
      </w:r>
    </w:p>
    <w:p w:rsidR="0000788A" w:rsidRDefault="0000788A" w:rsidP="0000788A">
      <w:pPr>
        <w:jc w:val="both"/>
      </w:pPr>
      <w:r>
        <w:t xml:space="preserve">In this report, </w:t>
      </w:r>
      <w:r w:rsidR="004442A1">
        <w:t>t</w:t>
      </w:r>
      <w:r>
        <w:t>he approach in implementing the POS tagger</w:t>
      </w:r>
      <w:r w:rsidR="004442A1">
        <w:t xml:space="preserve"> will be discussed</w:t>
      </w:r>
      <w:r>
        <w:t>. It covers various methods to (1) capture relevant information from the training data, (2) calculate relevant probabilities, (3) perform smoothing on the model, and (4) handle unknown (unseen) words.</w:t>
      </w:r>
    </w:p>
    <w:p w:rsidR="0000788A" w:rsidRDefault="0000788A" w:rsidP="0000788A">
      <w:pPr>
        <w:jc w:val="both"/>
      </w:pPr>
      <w:r>
        <w:t>The main report consists of only 4 pages. The appendix includes more detailed analysis of the POS tagger performance using various implemented smoothing methods.</w:t>
      </w:r>
    </w:p>
    <w:p w:rsidR="00227B66" w:rsidRDefault="00F5106D" w:rsidP="00F5106D">
      <w:pPr>
        <w:pStyle w:val="Heading1"/>
        <w:numPr>
          <w:ilvl w:val="0"/>
          <w:numId w:val="1"/>
        </w:numPr>
      </w:pPr>
      <w:r>
        <w:t>Implementation Details</w:t>
      </w:r>
    </w:p>
    <w:p w:rsidR="00F5106D" w:rsidRDefault="00F5106D" w:rsidP="00F5106D">
      <w:pPr>
        <w:pStyle w:val="Heading2"/>
        <w:numPr>
          <w:ilvl w:val="1"/>
          <w:numId w:val="1"/>
        </w:numPr>
      </w:pPr>
      <w:r>
        <w:t xml:space="preserve">Training </w:t>
      </w:r>
      <w:r w:rsidR="00AE62CF">
        <w:t>D</w:t>
      </w:r>
      <w:r>
        <w:t>ata</w:t>
      </w:r>
    </w:p>
    <w:p w:rsidR="007A3190" w:rsidRDefault="00F5106D" w:rsidP="00F5106D">
      <w:r>
        <w:t>The training data used by the program (</w:t>
      </w:r>
      <w:proofErr w:type="spellStart"/>
      <w:r w:rsidRPr="00726BE3">
        <w:rPr>
          <w:rFonts w:ascii="Consolas" w:hAnsi="Consolas" w:cs="Consolas"/>
          <w:sz w:val="22"/>
        </w:rPr>
        <w:t>sents.train</w:t>
      </w:r>
      <w:proofErr w:type="spellEnd"/>
      <w:r>
        <w:t xml:space="preserve">) consists of sentences which contains words and the corresponding tags (from Penn Treebank tag set). </w:t>
      </w:r>
    </w:p>
    <w:p w:rsidR="00F5106D" w:rsidRDefault="00F5106D" w:rsidP="00F5106D">
      <w:r>
        <w:t>Please refer</w:t>
      </w:r>
      <w:r w:rsidR="007A3190">
        <w:t xml:space="preserve"> to</w:t>
      </w:r>
      <w:r w:rsidR="00595F56">
        <w:t xml:space="preserve"> the training data</w:t>
      </w:r>
      <w:r w:rsidR="007A3190">
        <w:t xml:space="preserve"> summary </w:t>
      </w:r>
      <w:r w:rsidR="00595F56">
        <w:t>below:</w:t>
      </w: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1931"/>
      </w:tblGrid>
      <w:tr w:rsidR="007A3190" w:rsidRPr="00595F56" w:rsidTr="00595F56">
        <w:trPr>
          <w:jc w:val="center"/>
        </w:trPr>
        <w:tc>
          <w:tcPr>
            <w:tcW w:w="498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A3190" w:rsidRPr="00595F56" w:rsidRDefault="007A3190" w:rsidP="004578D3">
            <w:pPr>
              <w:rPr>
                <w:b/>
              </w:rPr>
            </w:pPr>
            <w:r w:rsidRPr="00595F56">
              <w:rPr>
                <w:b/>
              </w:rPr>
              <w:t>Category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A3190" w:rsidRPr="00595F56" w:rsidRDefault="007A3190" w:rsidP="004578D3">
            <w:pPr>
              <w:rPr>
                <w:b/>
              </w:rPr>
            </w:pPr>
            <w:r w:rsidRPr="00595F56">
              <w:rPr>
                <w:b/>
              </w:rPr>
              <w:t>Count</w:t>
            </w:r>
          </w:p>
        </w:tc>
      </w:tr>
      <w:tr w:rsidR="007A3190" w:rsidTr="00595F56">
        <w:trPr>
          <w:jc w:val="center"/>
        </w:trPr>
        <w:tc>
          <w:tcPr>
            <w:tcW w:w="4981" w:type="dxa"/>
            <w:tcBorders>
              <w:top w:val="single" w:sz="4" w:space="0" w:color="auto"/>
              <w:right w:val="single" w:sz="4" w:space="0" w:color="auto"/>
            </w:tcBorders>
          </w:tcPr>
          <w:p w:rsidR="007A3190" w:rsidRPr="00595F56" w:rsidRDefault="007A3190" w:rsidP="004578D3">
            <w:r w:rsidRPr="00595F56">
              <w:t>Number of word types (unique words)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</w:tcBorders>
          </w:tcPr>
          <w:p w:rsidR="007A3190" w:rsidRDefault="007A3190" w:rsidP="004578D3">
            <w:r>
              <w:t>44389</w:t>
            </w:r>
          </w:p>
        </w:tc>
      </w:tr>
      <w:tr w:rsidR="007A3190" w:rsidTr="00595F56">
        <w:trPr>
          <w:jc w:val="center"/>
        </w:trPr>
        <w:tc>
          <w:tcPr>
            <w:tcW w:w="4981" w:type="dxa"/>
            <w:tcBorders>
              <w:right w:val="single" w:sz="4" w:space="0" w:color="auto"/>
            </w:tcBorders>
          </w:tcPr>
          <w:p w:rsidR="007A3190" w:rsidRPr="00595F56" w:rsidRDefault="007A3190" w:rsidP="004578D3">
            <w:r w:rsidRPr="00595F56">
              <w:t>Number of “bag-of-words”</w:t>
            </w:r>
            <w:r w:rsidR="00407C14">
              <w:t xml:space="preserve"> (non-unique words)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7A3190" w:rsidRDefault="007A3190" w:rsidP="004578D3">
            <w:r>
              <w:t>950028</w:t>
            </w:r>
          </w:p>
        </w:tc>
      </w:tr>
      <w:tr w:rsidR="007A3190" w:rsidTr="00595F56">
        <w:trPr>
          <w:jc w:val="center"/>
        </w:trPr>
        <w:tc>
          <w:tcPr>
            <w:tcW w:w="4981" w:type="dxa"/>
            <w:tcBorders>
              <w:right w:val="single" w:sz="4" w:space="0" w:color="auto"/>
            </w:tcBorders>
          </w:tcPr>
          <w:p w:rsidR="007A3190" w:rsidRPr="00595F56" w:rsidRDefault="007A3190" w:rsidP="004578D3">
            <w:r w:rsidRPr="00595F56">
              <w:t>Number of sentences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7A3190" w:rsidRDefault="007A3190" w:rsidP="004578D3">
            <w:r>
              <w:t>39832</w:t>
            </w:r>
          </w:p>
        </w:tc>
      </w:tr>
      <w:tr w:rsidR="007A3190" w:rsidTr="00595F56">
        <w:trPr>
          <w:jc w:val="center"/>
        </w:trPr>
        <w:tc>
          <w:tcPr>
            <w:tcW w:w="4981" w:type="dxa"/>
            <w:tcBorders>
              <w:right w:val="single" w:sz="4" w:space="0" w:color="auto"/>
            </w:tcBorders>
          </w:tcPr>
          <w:p w:rsidR="007A3190" w:rsidRPr="00595F56" w:rsidRDefault="004578D3" w:rsidP="004578D3">
            <w:r w:rsidRPr="00595F56">
              <w:t>Number of unique POS Tags (Penn Treebank)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7A3190" w:rsidRDefault="004578D3" w:rsidP="004578D3">
            <w:r>
              <w:t>45</w:t>
            </w:r>
          </w:p>
        </w:tc>
      </w:tr>
    </w:tbl>
    <w:p w:rsidR="007A3190" w:rsidRDefault="00077622" w:rsidP="00595F56">
      <w:pPr>
        <w:spacing w:before="120"/>
        <w:jc w:val="center"/>
      </w:pPr>
      <w:r>
        <w:t>Table 1 –</w:t>
      </w:r>
      <w:r w:rsidR="004578D3">
        <w:t xml:space="preserve"> Summary of training data (</w:t>
      </w:r>
      <w:proofErr w:type="spellStart"/>
      <w:r w:rsidR="004578D3" w:rsidRPr="00726BE3">
        <w:rPr>
          <w:rFonts w:ascii="Consolas" w:hAnsi="Consolas" w:cs="Consolas"/>
          <w:sz w:val="22"/>
        </w:rPr>
        <w:t>sents.train</w:t>
      </w:r>
      <w:proofErr w:type="spellEnd"/>
      <w:r w:rsidR="004578D3">
        <w:t>)</w:t>
      </w:r>
    </w:p>
    <w:p w:rsidR="004578D3" w:rsidRDefault="00B57CE2" w:rsidP="007F51F4">
      <w:pPr>
        <w:pStyle w:val="Heading2"/>
        <w:numPr>
          <w:ilvl w:val="1"/>
          <w:numId w:val="1"/>
        </w:numPr>
      </w:pPr>
      <w:r>
        <w:t>Attributes</w:t>
      </w:r>
    </w:p>
    <w:p w:rsidR="003B6C3F" w:rsidRDefault="00B57CE2" w:rsidP="007F51F4">
      <w:r>
        <w:t xml:space="preserve">Before reading and processing the training data, it is necessary to identify relevant </w:t>
      </w:r>
      <w:r w:rsidR="003B6C3F">
        <w:t>attributes</w:t>
      </w:r>
      <w:r>
        <w:t xml:space="preserve"> </w:t>
      </w:r>
      <w:r w:rsidR="003B6C3F">
        <w:t xml:space="preserve">which </w:t>
      </w:r>
      <w:r w:rsidR="00322360">
        <w:t>are</w:t>
      </w:r>
      <w:r w:rsidR="003B6C3F">
        <w:t xml:space="preserve"> </w:t>
      </w:r>
      <w:r>
        <w:t xml:space="preserve">needed to </w:t>
      </w:r>
      <w:r w:rsidR="003B6C3F">
        <w:t>perform Stochastic POS Tagging.</w:t>
      </w:r>
    </w:p>
    <w:p w:rsidR="007F51F4" w:rsidRDefault="00B57CE2" w:rsidP="007F51F4">
      <w:r>
        <w:t>The required attributes are</w:t>
      </w:r>
      <w:r w:rsidR="00322360">
        <w:t xml:space="preserve"> as follows</w:t>
      </w:r>
      <w:r>
        <w:t>:</w:t>
      </w:r>
    </w:p>
    <w:p w:rsidR="00B57CE2" w:rsidRDefault="00D011AC" w:rsidP="00D011AC">
      <w:pPr>
        <w:pStyle w:val="ListParagraph"/>
        <w:numPr>
          <w:ilvl w:val="0"/>
          <w:numId w:val="2"/>
        </w:numPr>
        <w:tabs>
          <w:tab w:val="left" w:pos="1701"/>
        </w:tabs>
      </w:pPr>
      <w:r w:rsidRPr="00D011AC">
        <w:rPr>
          <w:rFonts w:ascii="Cambria" w:hAnsi="Cambria"/>
          <w:i/>
        </w:rPr>
        <w:t>W</w:t>
      </w:r>
      <w:r>
        <w:tab/>
      </w:r>
      <w:r w:rsidR="00B57CE2">
        <w:t>: The set of words in the training set</w:t>
      </w:r>
      <w:r w:rsidR="008442A5">
        <w:t xml:space="preserve"> (words are case-sensitive)</w:t>
      </w:r>
      <w:r>
        <w:t>.</w:t>
      </w:r>
    </w:p>
    <w:p w:rsidR="00B57CE2" w:rsidRDefault="00D011AC" w:rsidP="00D011AC">
      <w:pPr>
        <w:pStyle w:val="ListParagraph"/>
        <w:numPr>
          <w:ilvl w:val="0"/>
          <w:numId w:val="2"/>
        </w:numPr>
        <w:tabs>
          <w:tab w:val="left" w:pos="1701"/>
        </w:tabs>
      </w:pPr>
      <w:r w:rsidRPr="00D011AC">
        <w:rPr>
          <w:rFonts w:ascii="Cambria" w:hAnsi="Cambria"/>
          <w:i/>
        </w:rPr>
        <w:t>T</w:t>
      </w:r>
      <w:r>
        <w:tab/>
      </w:r>
      <w:r w:rsidR="00B57CE2">
        <w:t>: The set of POS tags in the training set</w:t>
      </w:r>
      <w:r>
        <w:t>.</w:t>
      </w:r>
    </w:p>
    <w:p w:rsidR="00B57CE2" w:rsidRDefault="00D011AC" w:rsidP="00D011AC">
      <w:pPr>
        <w:pStyle w:val="ListParagraph"/>
        <w:numPr>
          <w:ilvl w:val="0"/>
          <w:numId w:val="2"/>
        </w:numPr>
        <w:tabs>
          <w:tab w:val="left" w:pos="1701"/>
        </w:tabs>
      </w:pPr>
      <w:proofErr w:type="gramStart"/>
      <w:r w:rsidRPr="00D011AC">
        <w:rPr>
          <w:rFonts w:ascii="Cambria" w:hAnsi="Cambria"/>
          <w:i/>
        </w:rPr>
        <w:t>P(</w:t>
      </w:r>
      <w:proofErr w:type="gramEnd"/>
      <w:r w:rsidRPr="00D011AC">
        <w:rPr>
          <w:rFonts w:ascii="Cambria" w:hAnsi="Cambria"/>
          <w:i/>
        </w:rPr>
        <w:t>t</w:t>
      </w:r>
      <w:r w:rsidRPr="00D011AC">
        <w:rPr>
          <w:rFonts w:ascii="Cambria" w:hAnsi="Cambria"/>
          <w:i/>
          <w:vertAlign w:val="subscript"/>
        </w:rPr>
        <w:t>i</w:t>
      </w:r>
      <w:r w:rsidRPr="00D011AC">
        <w:rPr>
          <w:rFonts w:ascii="Cambria" w:hAnsi="Cambria"/>
          <w:i/>
        </w:rPr>
        <w:t>|t</w:t>
      </w:r>
      <w:r w:rsidRPr="00D011AC">
        <w:rPr>
          <w:rFonts w:ascii="Cambria" w:hAnsi="Cambria"/>
          <w:i/>
          <w:vertAlign w:val="subscript"/>
        </w:rPr>
        <w:t>i-1</w:t>
      </w:r>
      <w:r w:rsidRPr="00D011AC">
        <w:rPr>
          <w:rFonts w:ascii="Cambria" w:hAnsi="Cambria"/>
          <w:i/>
        </w:rPr>
        <w:t>)</w:t>
      </w:r>
      <w:r>
        <w:tab/>
        <w:t xml:space="preserve">: The transition probability to have a POS tag </w:t>
      </w:r>
      <w:proofErr w:type="spellStart"/>
      <w:r w:rsidRPr="00D011AC">
        <w:rPr>
          <w:rFonts w:ascii="Cambria" w:hAnsi="Cambria"/>
          <w:i/>
        </w:rPr>
        <w:t>t</w:t>
      </w:r>
      <w:r w:rsidRPr="00D011AC">
        <w:rPr>
          <w:rFonts w:ascii="Cambria" w:hAnsi="Cambria"/>
          <w:i/>
          <w:vertAlign w:val="subscript"/>
        </w:rPr>
        <w:t>i</w:t>
      </w:r>
      <w:proofErr w:type="spellEnd"/>
      <w:r>
        <w:t xml:space="preserve"> given the previous POS tag </w:t>
      </w:r>
      <w:r w:rsidRPr="005F2A10">
        <w:rPr>
          <w:rFonts w:ascii="Cambria" w:hAnsi="Cambria"/>
          <w:i/>
        </w:rPr>
        <w:t>t</w:t>
      </w:r>
      <w:r w:rsidRPr="005F2A10">
        <w:rPr>
          <w:rFonts w:ascii="Cambria" w:hAnsi="Cambria"/>
          <w:i/>
          <w:vertAlign w:val="subscript"/>
        </w:rPr>
        <w:t>i-1</w:t>
      </w:r>
      <w:r>
        <w:t>.</w:t>
      </w:r>
    </w:p>
    <w:p w:rsidR="00D011AC" w:rsidRDefault="00D011AC" w:rsidP="00D011AC">
      <w:pPr>
        <w:pStyle w:val="ListParagraph"/>
        <w:numPr>
          <w:ilvl w:val="0"/>
          <w:numId w:val="2"/>
        </w:numPr>
        <w:tabs>
          <w:tab w:val="left" w:pos="1701"/>
        </w:tabs>
      </w:pPr>
      <w:proofErr w:type="gramStart"/>
      <w:r w:rsidRPr="00D011AC">
        <w:rPr>
          <w:rFonts w:ascii="Cambria" w:hAnsi="Cambria"/>
          <w:i/>
        </w:rPr>
        <w:t>P(</w:t>
      </w:r>
      <w:proofErr w:type="spellStart"/>
      <w:proofErr w:type="gramEnd"/>
      <w:r w:rsidRPr="00D011AC">
        <w:rPr>
          <w:rFonts w:ascii="Cambria" w:hAnsi="Cambria"/>
          <w:i/>
        </w:rPr>
        <w:t>w|t</w:t>
      </w:r>
      <w:proofErr w:type="spellEnd"/>
      <w:r w:rsidRPr="00D011AC">
        <w:rPr>
          <w:rFonts w:ascii="Cambria" w:hAnsi="Cambria"/>
          <w:i/>
        </w:rPr>
        <w:t>)</w:t>
      </w:r>
      <w:r>
        <w:tab/>
        <w:t xml:space="preserve">: The probability to have a word </w:t>
      </w:r>
      <w:r w:rsidRPr="00D011AC">
        <w:rPr>
          <w:rFonts w:ascii="Cambria" w:hAnsi="Cambria"/>
          <w:i/>
        </w:rPr>
        <w:t>w</w:t>
      </w:r>
      <w:r>
        <w:t xml:space="preserve">, given a POS tag </w:t>
      </w:r>
      <w:r w:rsidRPr="00D011AC">
        <w:rPr>
          <w:rFonts w:ascii="Cambria" w:hAnsi="Cambria"/>
          <w:i/>
        </w:rPr>
        <w:t>t</w:t>
      </w:r>
      <w:r>
        <w:t>.</w:t>
      </w:r>
    </w:p>
    <w:p w:rsidR="00245DC5" w:rsidRDefault="00245DC5" w:rsidP="00E828E1">
      <w:pPr>
        <w:pStyle w:val="ListParagraph"/>
        <w:tabs>
          <w:tab w:val="left" w:pos="1701"/>
        </w:tabs>
      </w:pPr>
    </w:p>
    <w:p w:rsidR="00115E97" w:rsidRDefault="00115E97" w:rsidP="00115E97">
      <w:pPr>
        <w:pStyle w:val="Heading2"/>
        <w:numPr>
          <w:ilvl w:val="1"/>
          <w:numId w:val="1"/>
        </w:numPr>
      </w:pPr>
      <w:r>
        <w:t xml:space="preserve">Information </w:t>
      </w:r>
      <w:r w:rsidR="00AE62CF">
        <w:t>E</w:t>
      </w:r>
      <w:r>
        <w:t>xtraction</w:t>
      </w:r>
    </w:p>
    <w:p w:rsidR="00115E97" w:rsidRDefault="00C82406" w:rsidP="003F1661">
      <w:pPr>
        <w:jc w:val="both"/>
      </w:pPr>
      <w:r>
        <w:t>To obtain the required attributes, the following information is extracted from the training data:</w:t>
      </w:r>
    </w:p>
    <w:tbl>
      <w:tblPr>
        <w:tblStyle w:val="TableGrid"/>
        <w:tblW w:w="0" w:type="auto"/>
        <w:jc w:val="center"/>
        <w:tblInd w:w="-85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6142"/>
      </w:tblGrid>
      <w:tr w:rsidR="00673F16" w:rsidRPr="00595F56" w:rsidTr="00673F16">
        <w:trPr>
          <w:jc w:val="center"/>
        </w:trPr>
        <w:tc>
          <w:tcPr>
            <w:tcW w:w="274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73F16" w:rsidRPr="00595F56" w:rsidRDefault="00673F16" w:rsidP="00F1332C">
            <w:pPr>
              <w:rPr>
                <w:b/>
              </w:rPr>
            </w:pPr>
            <w:r>
              <w:rPr>
                <w:b/>
              </w:rPr>
              <w:lastRenderedPageBreak/>
              <w:t>Item</w:t>
            </w:r>
          </w:p>
        </w:tc>
        <w:tc>
          <w:tcPr>
            <w:tcW w:w="614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73F16" w:rsidRPr="00595F56" w:rsidRDefault="00673F16" w:rsidP="00F133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3F16" w:rsidTr="00673F16">
        <w:trPr>
          <w:jc w:val="center"/>
        </w:trPr>
        <w:tc>
          <w:tcPr>
            <w:tcW w:w="2749" w:type="dxa"/>
            <w:tcBorders>
              <w:top w:val="single" w:sz="4" w:space="0" w:color="auto"/>
              <w:right w:val="single" w:sz="4" w:space="0" w:color="auto"/>
            </w:tcBorders>
          </w:tcPr>
          <w:p w:rsidR="00673F16" w:rsidRPr="00595F56" w:rsidRDefault="00673F16" w:rsidP="00077D6E">
            <w:r>
              <w:t xml:space="preserve">POS Tag </w:t>
            </w:r>
            <w:r w:rsidR="00077D6E">
              <w:t>M</w:t>
            </w:r>
            <w:r>
              <w:t>ap</w:t>
            </w:r>
          </w:p>
        </w:tc>
        <w:tc>
          <w:tcPr>
            <w:tcW w:w="6142" w:type="dxa"/>
            <w:tcBorders>
              <w:top w:val="single" w:sz="4" w:space="0" w:color="auto"/>
              <w:left w:val="single" w:sz="4" w:space="0" w:color="auto"/>
            </w:tcBorders>
          </w:tcPr>
          <w:p w:rsidR="00673F16" w:rsidRDefault="00673F16" w:rsidP="00F1332C">
            <w:r>
              <w:t>A map to translate a POS tag to its assigned integer index and vice versa</w:t>
            </w:r>
          </w:p>
        </w:tc>
      </w:tr>
      <w:tr w:rsidR="00673F16" w:rsidTr="00673F16">
        <w:trPr>
          <w:jc w:val="center"/>
        </w:trPr>
        <w:tc>
          <w:tcPr>
            <w:tcW w:w="2749" w:type="dxa"/>
            <w:tcBorders>
              <w:right w:val="single" w:sz="4" w:space="0" w:color="auto"/>
            </w:tcBorders>
          </w:tcPr>
          <w:p w:rsidR="00673F16" w:rsidRPr="00595F56" w:rsidRDefault="00673F16" w:rsidP="00077D6E">
            <w:r>
              <w:t xml:space="preserve">Word </w:t>
            </w:r>
            <w:r w:rsidR="00077D6E">
              <w:t>M</w:t>
            </w:r>
            <w:r>
              <w:t>ap</w:t>
            </w:r>
          </w:p>
        </w:tc>
        <w:tc>
          <w:tcPr>
            <w:tcW w:w="6142" w:type="dxa"/>
            <w:tcBorders>
              <w:left w:val="single" w:sz="4" w:space="0" w:color="auto"/>
            </w:tcBorders>
          </w:tcPr>
          <w:p w:rsidR="00673F16" w:rsidRDefault="00673F16" w:rsidP="00F1332C">
            <w:r>
              <w:t>A map to translate a word to its assigned integer index and vice versa</w:t>
            </w:r>
          </w:p>
        </w:tc>
      </w:tr>
      <w:tr w:rsidR="00673F16" w:rsidTr="00673F16">
        <w:trPr>
          <w:jc w:val="center"/>
        </w:trPr>
        <w:tc>
          <w:tcPr>
            <w:tcW w:w="2749" w:type="dxa"/>
            <w:tcBorders>
              <w:right w:val="single" w:sz="4" w:space="0" w:color="auto"/>
            </w:tcBorders>
          </w:tcPr>
          <w:p w:rsidR="00673F16" w:rsidRDefault="00673F16" w:rsidP="00F1332C">
            <w:r>
              <w:t>Tag Count</w:t>
            </w:r>
          </w:p>
        </w:tc>
        <w:tc>
          <w:tcPr>
            <w:tcW w:w="6142" w:type="dxa"/>
            <w:tcBorders>
              <w:left w:val="single" w:sz="4" w:space="0" w:color="auto"/>
            </w:tcBorders>
          </w:tcPr>
          <w:p w:rsidR="00673F16" w:rsidRDefault="00673F16" w:rsidP="00DB66BC">
            <w:r>
              <w:t xml:space="preserve">A table </w:t>
            </w:r>
            <w:r w:rsidR="00DE1570">
              <w:t>to store</w:t>
            </w:r>
            <w:r>
              <w:t xml:space="preserve"> the number of occurrences of </w:t>
            </w:r>
            <w:r w:rsidR="00DB66BC">
              <w:t>every</w:t>
            </w:r>
            <w:r>
              <w:t xml:space="preserve"> POS tag</w:t>
            </w:r>
          </w:p>
        </w:tc>
      </w:tr>
      <w:tr w:rsidR="00673F16" w:rsidTr="00673F16">
        <w:trPr>
          <w:jc w:val="center"/>
        </w:trPr>
        <w:tc>
          <w:tcPr>
            <w:tcW w:w="2749" w:type="dxa"/>
            <w:tcBorders>
              <w:right w:val="single" w:sz="4" w:space="0" w:color="auto"/>
            </w:tcBorders>
          </w:tcPr>
          <w:p w:rsidR="00673F16" w:rsidRDefault="00673F16" w:rsidP="00F1332C">
            <w:r>
              <w:t>Word Count</w:t>
            </w:r>
          </w:p>
        </w:tc>
        <w:tc>
          <w:tcPr>
            <w:tcW w:w="6142" w:type="dxa"/>
            <w:tcBorders>
              <w:left w:val="single" w:sz="4" w:space="0" w:color="auto"/>
            </w:tcBorders>
          </w:tcPr>
          <w:p w:rsidR="00673F16" w:rsidRDefault="00673F16" w:rsidP="00DE1570">
            <w:r>
              <w:t xml:space="preserve">A table </w:t>
            </w:r>
            <w:r w:rsidR="00DE1570">
              <w:t>to store</w:t>
            </w:r>
            <w:r>
              <w:t xml:space="preserve"> the number of occurr</w:t>
            </w:r>
            <w:r w:rsidR="00DB66BC">
              <w:t>ences of every</w:t>
            </w:r>
            <w:r>
              <w:t xml:space="preserve"> word</w:t>
            </w:r>
          </w:p>
        </w:tc>
      </w:tr>
      <w:tr w:rsidR="00673F16" w:rsidTr="00673F16">
        <w:trPr>
          <w:jc w:val="center"/>
        </w:trPr>
        <w:tc>
          <w:tcPr>
            <w:tcW w:w="2749" w:type="dxa"/>
            <w:tcBorders>
              <w:right w:val="single" w:sz="4" w:space="0" w:color="auto"/>
            </w:tcBorders>
          </w:tcPr>
          <w:p w:rsidR="00673F16" w:rsidRDefault="00673F16" w:rsidP="00F1332C">
            <w:r>
              <w:t>Bigram Tag Matrix</w:t>
            </w:r>
          </w:p>
        </w:tc>
        <w:tc>
          <w:tcPr>
            <w:tcW w:w="6142" w:type="dxa"/>
            <w:tcBorders>
              <w:left w:val="single" w:sz="4" w:space="0" w:color="auto"/>
            </w:tcBorders>
          </w:tcPr>
          <w:p w:rsidR="00673F16" w:rsidRDefault="00673F16" w:rsidP="00673F16">
            <w:r>
              <w:t>A matrix to store the number of occurrences of a POS tag preceding another POS tag (two consecutive POS tags)</w:t>
            </w:r>
          </w:p>
        </w:tc>
      </w:tr>
      <w:tr w:rsidR="00673F16" w:rsidTr="00673F16">
        <w:trPr>
          <w:jc w:val="center"/>
        </w:trPr>
        <w:tc>
          <w:tcPr>
            <w:tcW w:w="2749" w:type="dxa"/>
            <w:tcBorders>
              <w:right w:val="single" w:sz="4" w:space="0" w:color="auto"/>
            </w:tcBorders>
          </w:tcPr>
          <w:p w:rsidR="00673F16" w:rsidRDefault="00673F16" w:rsidP="00F1332C">
            <w:r>
              <w:t>Word Tag Matrix</w:t>
            </w:r>
          </w:p>
        </w:tc>
        <w:tc>
          <w:tcPr>
            <w:tcW w:w="6142" w:type="dxa"/>
            <w:tcBorders>
              <w:left w:val="single" w:sz="4" w:space="0" w:color="auto"/>
            </w:tcBorders>
          </w:tcPr>
          <w:p w:rsidR="00673F16" w:rsidRDefault="00673F16" w:rsidP="00673F16">
            <w:r>
              <w:t>A matrix to store the number of occurrences of a word being assigned with a specific tag</w:t>
            </w:r>
          </w:p>
        </w:tc>
      </w:tr>
    </w:tbl>
    <w:p w:rsidR="00C82406" w:rsidRDefault="00077622" w:rsidP="00B41D65">
      <w:pPr>
        <w:spacing w:before="120" w:after="120"/>
        <w:jc w:val="center"/>
      </w:pPr>
      <w:r>
        <w:t xml:space="preserve">Table 2 – Information </w:t>
      </w:r>
      <w:r w:rsidR="00A00970">
        <w:t>e</w:t>
      </w:r>
      <w:r>
        <w:t>xtracted from training data</w:t>
      </w:r>
    </w:p>
    <w:p w:rsidR="00077622" w:rsidRDefault="00772820" w:rsidP="003F1661">
      <w:pPr>
        <w:jc w:val="both"/>
      </w:pPr>
      <w:r>
        <w:t xml:space="preserve">Stochastic POS tagging also requires a special start state and end (final) state to indicate the boundary of a sentence. Hence two </w:t>
      </w:r>
      <w:r w:rsidR="00FB16A6">
        <w:t>special</w:t>
      </w:r>
      <w:r>
        <w:t xml:space="preserve"> tags, </w:t>
      </w:r>
      <w:r w:rsidRPr="00772820">
        <w:rPr>
          <w:rFonts w:ascii="Cambria" w:hAnsi="Cambria"/>
        </w:rPr>
        <w:t>&lt;s&gt;</w:t>
      </w:r>
      <w:r>
        <w:t xml:space="preserve"> and </w:t>
      </w:r>
      <w:r w:rsidRPr="00772820">
        <w:rPr>
          <w:rFonts w:ascii="Cambria" w:hAnsi="Cambria"/>
        </w:rPr>
        <w:t>&lt;/s&gt;</w:t>
      </w:r>
      <w:r>
        <w:rPr>
          <w:rFonts w:ascii="Cambria" w:hAnsi="Cambria"/>
        </w:rPr>
        <w:t>,</w:t>
      </w:r>
      <w:r>
        <w:t xml:space="preserve"> are added on top o</w:t>
      </w:r>
      <w:r w:rsidR="00FB16A6">
        <w:t>f the 45 Penn Treebank POS tags during the extraction process.</w:t>
      </w:r>
    </w:p>
    <w:p w:rsidR="00FB16A6" w:rsidRDefault="00FB16A6" w:rsidP="00FB16A6">
      <w:pPr>
        <w:pStyle w:val="Heading2"/>
        <w:numPr>
          <w:ilvl w:val="1"/>
          <w:numId w:val="1"/>
        </w:numPr>
      </w:pPr>
      <w:r>
        <w:t>Information Processing</w:t>
      </w:r>
      <w:r w:rsidR="00AE62CF">
        <w:t xml:space="preserve"> and Smoothing</w:t>
      </w:r>
    </w:p>
    <w:p w:rsidR="00FB16A6" w:rsidRDefault="00077D6E" w:rsidP="003F1661">
      <w:pPr>
        <w:jc w:val="both"/>
      </w:pPr>
      <w:r>
        <w:t xml:space="preserve">The raw counts obtained from the training data, are then processed, </w:t>
      </w:r>
      <w:r w:rsidR="008442A5">
        <w:t>computed</w:t>
      </w:r>
      <w:r>
        <w:t xml:space="preserve">, and stored in the respective probability </w:t>
      </w:r>
      <w:r w:rsidR="00AE62CF">
        <w:t>matrices</w:t>
      </w:r>
      <w:r>
        <w:t xml:space="preserve"> (bigram tag and word tag). To calculate the probability, smoothing is required to handle zero raw count. </w:t>
      </w:r>
      <w:r w:rsidR="0002450A" w:rsidRPr="0002450A">
        <w:t xml:space="preserve">Three smoothing methods namely add-one, Witten-Bell, and </w:t>
      </w:r>
      <w:proofErr w:type="spellStart"/>
      <w:r w:rsidR="0002450A" w:rsidRPr="0002450A">
        <w:t>Kneser</w:t>
      </w:r>
      <w:proofErr w:type="spellEnd"/>
      <w:r w:rsidR="0002450A" w:rsidRPr="0002450A">
        <w:t>-Ney, were implemented</w:t>
      </w:r>
      <w:r>
        <w:t>. After running</w:t>
      </w:r>
      <w:r>
        <w:rPr>
          <w:rStyle w:val="FootnoteReference"/>
        </w:rPr>
        <w:footnoteReference w:id="3"/>
      </w:r>
      <w:r>
        <w:t xml:space="preserve"> each smoothing methods against the provided data set and analysing them, </w:t>
      </w:r>
      <w:proofErr w:type="spellStart"/>
      <w:r>
        <w:t>Kneser</w:t>
      </w:r>
      <w:proofErr w:type="spellEnd"/>
      <w:r>
        <w:t xml:space="preserve">-Ney smoothing </w:t>
      </w:r>
      <w:r w:rsidR="00044A77">
        <w:t>emerged</w:t>
      </w:r>
      <w:r>
        <w:t xml:space="preserve"> superior compared to the other two.</w:t>
      </w:r>
    </w:p>
    <w:p w:rsidR="00AE62CF" w:rsidRDefault="00AE62CF" w:rsidP="003F1661">
      <w:pPr>
        <w:jc w:val="both"/>
      </w:pPr>
      <w:r>
        <w:t xml:space="preserve">Therefore, </w:t>
      </w:r>
      <w:proofErr w:type="spellStart"/>
      <w:r>
        <w:t>Kneser</w:t>
      </w:r>
      <w:proofErr w:type="spellEnd"/>
      <w:r>
        <w:t xml:space="preserve">-Ney smoothing (with </w:t>
      </w:r>
      <w:proofErr w:type="spellStart"/>
      <w:r>
        <w:t>backoff</w:t>
      </w:r>
      <w:proofErr w:type="spellEnd"/>
      <w:r>
        <w:t xml:space="preserve">) </w:t>
      </w:r>
      <w:r w:rsidR="00A61147">
        <w:t xml:space="preserve">was adopted </w:t>
      </w:r>
      <w:r>
        <w:t>for the final POS tagger program. There are two sections that require smoothing.</w:t>
      </w:r>
    </w:p>
    <w:p w:rsidR="00AE62CF" w:rsidRDefault="00AE62CF" w:rsidP="00B5386D">
      <w:pPr>
        <w:spacing w:after="120"/>
        <w:jc w:val="both"/>
      </w:pPr>
      <w:r>
        <w:t xml:space="preserve">First, smoothing is required to </w:t>
      </w:r>
      <w:r w:rsidR="008442A5">
        <w:t>compute</w:t>
      </w:r>
      <w:r>
        <w:t xml:space="preserve"> the transition probability of bigram tags which will then be stored in a Transition Probability Matrix. The smoothing follows the equation</w:t>
      </w:r>
      <w:r w:rsidR="00695517">
        <w:t xml:space="preserve"> below</w:t>
      </w:r>
      <w:r>
        <w:t>:</w:t>
      </w:r>
    </w:p>
    <w:p w:rsidR="008440DC" w:rsidRDefault="00290151" w:rsidP="00B5386D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                 if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:C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e>
                          </m:d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:C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e>
                              </m:d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 xml:space="preserve">      if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(1) </m:t>
          </m:r>
        </m:oMath>
      </m:oMathPara>
    </w:p>
    <w:p w:rsidR="00695517" w:rsidRDefault="00695517" w:rsidP="003F1661">
      <w:pPr>
        <w:spacing w:after="120"/>
        <w:jc w:val="both"/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>
        <w:t xml:space="preserve"> </w:t>
      </w:r>
      <w:proofErr w:type="gramStart"/>
      <w:r>
        <w:t>is</w:t>
      </w:r>
      <w:proofErr w:type="gramEnd"/>
      <w:r>
        <w:t xml:space="preserve"> calculated based on backoff distribution and discounted probability (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) </w:t>
      </w:r>
      <w:r w:rsidR="00477CF5">
        <w:t>of</w:t>
      </w:r>
      <w:r>
        <w:t xml:space="preserve"> bigram and </w:t>
      </w:r>
      <w:r w:rsidR="00FB218F">
        <w:t>t</w:t>
      </w:r>
      <w:r w:rsidR="00477CF5">
        <w:t>he continuation probability</w:t>
      </w:r>
      <w:r>
        <w:t xml:space="preserve">. </w:t>
      </w:r>
      <w:r w:rsidR="003F1661">
        <w:t>It follows the equations below:</w:t>
      </w:r>
    </w:p>
    <w:p w:rsidR="00695517" w:rsidRDefault="00290151" w:rsidP="00DF04D7">
      <w:pPr>
        <w:spacing w:after="120"/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CONTINUATION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:C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:C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DF04D7" w:rsidRPr="00DF04D7" w:rsidRDefault="00DF04D7" w:rsidP="0053638B">
      <w:pPr>
        <w:spacing w:after="12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&gt;0   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&gt;0  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CONTINUATION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   (4)</m:t>
          </m:r>
        </m:oMath>
      </m:oMathPara>
    </w:p>
    <w:p w:rsidR="00F70C90" w:rsidRDefault="00CA42F4" w:rsidP="004A6E5E">
      <w:pPr>
        <w:jc w:val="both"/>
      </w:pPr>
      <w:r w:rsidRPr="00F70C90">
        <w:rPr>
          <w:rFonts w:ascii="Cambria" w:hAnsi="Cambria"/>
          <w:b/>
          <w:i/>
        </w:rPr>
        <w:t>D</w:t>
      </w:r>
      <w:r>
        <w:t xml:space="preserve"> is the absolute discount value which is </w:t>
      </w:r>
      <w:r w:rsidR="00D00C42">
        <w:t xml:space="preserve">set to be </w:t>
      </w:r>
      <w:r>
        <w:t>0.</w:t>
      </w:r>
      <w:r w:rsidR="009C51DF">
        <w:t>08</w:t>
      </w:r>
      <w:r>
        <w:t>5. The value 0.</w:t>
      </w:r>
      <w:r w:rsidR="009C51DF">
        <w:t>085</w:t>
      </w:r>
      <w:r>
        <w:t xml:space="preserve"> is obtained by running</w:t>
      </w:r>
      <w:r w:rsidR="00F426BE">
        <w:rPr>
          <w:rStyle w:val="FootnoteReference"/>
        </w:rPr>
        <w:footnoteReference w:id="4"/>
      </w:r>
      <w:r>
        <w:t xml:space="preserve"> the program with different discount value, and 0.</w:t>
      </w:r>
      <w:r w:rsidR="009C51DF">
        <w:t>08</w:t>
      </w:r>
      <w:r>
        <w:t>5 yields the best result.</w:t>
      </w:r>
    </w:p>
    <w:p w:rsidR="00F1332C" w:rsidRDefault="00547BD8" w:rsidP="004A6E5E">
      <w:pPr>
        <w:jc w:val="both"/>
        <w:rPr>
          <w:rFonts w:eastAsiaTheme="minorEastAsia"/>
        </w:rPr>
      </w:pPr>
      <w:r>
        <w:lastRenderedPageBreak/>
        <w:t>Second</w:t>
      </w:r>
      <w:r w:rsidR="00EF3153">
        <w:t xml:space="preserve">, smoothing is also required to </w:t>
      </w:r>
      <w:proofErr w:type="gramStart"/>
      <w:r w:rsidR="008442A5">
        <w:t xml:space="preserve">compute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</m:oMath>
      <w:r w:rsidR="008442A5">
        <w:rPr>
          <w:rFonts w:eastAsiaTheme="minorEastAsia"/>
        </w:rPr>
        <w:t xml:space="preserve">, the probability of a having a word </w:t>
      </w:r>
      <w:r w:rsidR="008442A5" w:rsidRPr="008442A5">
        <w:rPr>
          <w:rFonts w:ascii="Cambria" w:eastAsiaTheme="minorEastAsia" w:hAnsi="Cambria"/>
          <w:i/>
        </w:rPr>
        <w:t>w</w:t>
      </w:r>
      <w:r w:rsidR="008442A5">
        <w:rPr>
          <w:rFonts w:eastAsiaTheme="minorEastAsia"/>
        </w:rPr>
        <w:t xml:space="preserve">, given a tag </w:t>
      </w:r>
      <w:r w:rsidR="008442A5" w:rsidRPr="008442A5">
        <w:rPr>
          <w:rFonts w:ascii="Cambria" w:eastAsiaTheme="minorEastAsia" w:hAnsi="Cambria"/>
          <w:i/>
        </w:rPr>
        <w:t>t</w:t>
      </w:r>
      <w:r w:rsidR="008442A5">
        <w:rPr>
          <w:rFonts w:eastAsiaTheme="minorEastAsia"/>
        </w:rPr>
        <w:t xml:space="preserve">, because not every word will appear with all POS tags. There is absolutely some zero count </w:t>
      </w:r>
      <w:proofErr w:type="gramStart"/>
      <w:r w:rsidR="008442A5"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442A5">
        <w:rPr>
          <w:rFonts w:eastAsiaTheme="minorEastAsia"/>
        </w:rPr>
        <w:t xml:space="preserve">. </w:t>
      </w:r>
      <w:r w:rsidR="00F1332C">
        <w:rPr>
          <w:rFonts w:eastAsiaTheme="minorEastAsia"/>
        </w:rPr>
        <w:t>The following equation is used to perform smoothing</w:t>
      </w:r>
      <w:r w:rsidR="00D0369E">
        <w:rPr>
          <w:rFonts w:eastAsiaTheme="minorEastAsia"/>
        </w:rPr>
        <w:t xml:space="preserve"> (identical to equation (1))</w:t>
      </w:r>
      <w:r w:rsidR="00F1332C">
        <w:rPr>
          <w:rFonts w:eastAsiaTheme="minorEastAsia"/>
        </w:rPr>
        <w:t>:</w:t>
      </w:r>
    </w:p>
    <w:p w:rsidR="00F1332C" w:rsidRDefault="00290151" w:rsidP="008440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                 if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:C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e>
                          </m:d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:C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e>
                              </m:d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 xml:space="preserve">              if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(5)</m:t>
          </m:r>
        </m:oMath>
      </m:oMathPara>
    </w:p>
    <w:p w:rsidR="00D0369E" w:rsidRDefault="00D0369E" w:rsidP="00D0369E">
      <w:pPr>
        <w:spacing w:after="120"/>
        <w:jc w:val="both"/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proofErr w:type="gramStart"/>
      <w:r>
        <w:t>is</w:t>
      </w:r>
      <w:proofErr w:type="gramEnd"/>
      <w:r>
        <w:t xml:space="preserve"> also handled in the same manner, with different attributes.</w:t>
      </w:r>
    </w:p>
    <w:p w:rsidR="00F1332C" w:rsidRDefault="00290151" w:rsidP="00D0369E">
      <w:pPr>
        <w:spacing w:after="12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CONTINUATION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:C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:C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:rsidR="00F1332C" w:rsidRDefault="00D0369E" w:rsidP="00D0369E">
      <w:pPr>
        <w:spacing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&gt;0   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&gt;0  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CONTINUATION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   (8)</m:t>
          </m:r>
        </m:oMath>
      </m:oMathPara>
    </w:p>
    <w:p w:rsidR="00F70C90" w:rsidRDefault="00F70C90" w:rsidP="008440DC">
      <w:pPr>
        <w:rPr>
          <w:rFonts w:eastAsiaTheme="minorEastAsia"/>
        </w:rPr>
      </w:pPr>
      <w:r>
        <w:t xml:space="preserve">The absolute discount value </w:t>
      </w:r>
      <w:r w:rsidRPr="00F70C90">
        <w:rPr>
          <w:rFonts w:ascii="Cambria" w:hAnsi="Cambria"/>
          <w:b/>
          <w:i/>
        </w:rPr>
        <w:t>D</w:t>
      </w:r>
      <w:r>
        <w:t xml:space="preserve"> is again set to its optimum value, 0.</w:t>
      </w:r>
      <w:r w:rsidR="009C51DF">
        <w:t>08</w:t>
      </w:r>
      <w:r>
        <w:t xml:space="preserve">5. </w:t>
      </w:r>
    </w:p>
    <w:p w:rsidR="008440DC" w:rsidRDefault="008442A5" w:rsidP="008F5EF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84CFA">
        <w:rPr>
          <w:rFonts w:eastAsiaTheme="minorEastAsia"/>
        </w:rPr>
        <w:t>smoothing</w:t>
      </w:r>
      <w:r>
        <w:rPr>
          <w:rFonts w:eastAsiaTheme="minorEastAsia"/>
        </w:rPr>
        <w:t xml:space="preserve"> equations </w:t>
      </w:r>
      <w:r w:rsidR="001F1F15">
        <w:rPr>
          <w:rFonts w:eastAsiaTheme="minorEastAsia"/>
        </w:rPr>
        <w:t xml:space="preserve">above </w:t>
      </w:r>
      <w:r>
        <w:rPr>
          <w:rFonts w:eastAsiaTheme="minorEastAsia"/>
        </w:rPr>
        <w:t>are also used to handle unknown (unseen) words in the test data. One word “&lt;UNK&gt;” is added into the word set with one occurrence, without any tags, and it represents all unknown words encountered. In other words, all unknown words are treated in equal manner.</w:t>
      </w:r>
    </w:p>
    <w:p w:rsidR="001F1F15" w:rsidRDefault="001F1F15" w:rsidP="008F5EF0">
      <w:pPr>
        <w:jc w:val="both"/>
        <w:rPr>
          <w:rFonts w:eastAsiaTheme="minorEastAsia"/>
        </w:rPr>
      </w:pPr>
      <w:r>
        <w:rPr>
          <w:rFonts w:eastAsiaTheme="minorEastAsia"/>
        </w:rPr>
        <w:t>However, after some observation and analysis</w:t>
      </w:r>
      <w:r w:rsidR="00AF25B7">
        <w:rPr>
          <w:rFonts w:eastAsiaTheme="minorEastAsia"/>
        </w:rPr>
        <w:t xml:space="preserve"> (considering the fact that the words are treated as case-sensitive)</w:t>
      </w:r>
      <w:r>
        <w:rPr>
          <w:rFonts w:eastAsiaTheme="minorEastAsia"/>
        </w:rPr>
        <w:t xml:space="preserve">, converting </w:t>
      </w:r>
      <w:r w:rsidR="00AF25B7">
        <w:rPr>
          <w:rFonts w:eastAsiaTheme="minorEastAsia"/>
        </w:rPr>
        <w:t>an</w:t>
      </w:r>
      <w:r>
        <w:rPr>
          <w:rFonts w:eastAsiaTheme="minorEastAsia"/>
        </w:rPr>
        <w:t xml:space="preserve"> unknown word to lowercase letters, or uppercase first-letter</w:t>
      </w:r>
      <w:r w:rsidR="00AF25B7">
        <w:rPr>
          <w:rFonts w:eastAsiaTheme="minorEastAsia"/>
        </w:rPr>
        <w:t xml:space="preserve"> and checking against the dictionary</w:t>
      </w:r>
      <w:r>
        <w:rPr>
          <w:rFonts w:eastAsiaTheme="minorEastAsia"/>
        </w:rPr>
        <w:t xml:space="preserve"> </w:t>
      </w:r>
      <w:r w:rsidR="00AF25B7">
        <w:rPr>
          <w:rFonts w:eastAsiaTheme="minorEastAsia"/>
        </w:rPr>
        <w:t xml:space="preserve">may </w:t>
      </w:r>
      <w:r>
        <w:rPr>
          <w:rFonts w:eastAsiaTheme="minorEastAsia"/>
        </w:rPr>
        <w:t>result in</w:t>
      </w:r>
      <w:r w:rsidR="00AF25B7">
        <w:rPr>
          <w:rFonts w:eastAsiaTheme="minorEastAsia"/>
        </w:rPr>
        <w:t xml:space="preserve"> the discovery of the word</w:t>
      </w:r>
      <w:r>
        <w:rPr>
          <w:rFonts w:eastAsiaTheme="minorEastAsia"/>
        </w:rPr>
        <w:t xml:space="preserve">, which </w:t>
      </w:r>
      <w:r w:rsidR="00AF25B7">
        <w:rPr>
          <w:rFonts w:eastAsiaTheme="minorEastAsia"/>
        </w:rPr>
        <w:t xml:space="preserve">significantly </w:t>
      </w:r>
      <w:r>
        <w:rPr>
          <w:rFonts w:eastAsiaTheme="minorEastAsia"/>
        </w:rPr>
        <w:t xml:space="preserve">increases the chance of the POS tagger to assign a correct </w:t>
      </w:r>
      <w:r w:rsidR="00AF25B7">
        <w:rPr>
          <w:rFonts w:eastAsiaTheme="minorEastAsia"/>
        </w:rPr>
        <w:t xml:space="preserve">tag, compared to </w:t>
      </w:r>
      <w:r w:rsidR="009562B4">
        <w:rPr>
          <w:rFonts w:eastAsiaTheme="minorEastAsia"/>
        </w:rPr>
        <w:t xml:space="preserve">always </w:t>
      </w:r>
      <w:r w:rsidR="00AF25B7">
        <w:rPr>
          <w:rFonts w:eastAsiaTheme="minorEastAsia"/>
        </w:rPr>
        <w:t xml:space="preserve">treating </w:t>
      </w:r>
      <w:r w:rsidR="009F54ED">
        <w:rPr>
          <w:rFonts w:eastAsiaTheme="minorEastAsia"/>
        </w:rPr>
        <w:t>it as an unknown (“&lt;UNK&gt;”) word</w:t>
      </w:r>
      <w:r w:rsidR="00AF25B7">
        <w:rPr>
          <w:rFonts w:eastAsiaTheme="minorEastAsia"/>
        </w:rPr>
        <w:t xml:space="preserve">. </w:t>
      </w:r>
      <w:r w:rsidR="00C01F60">
        <w:rPr>
          <w:rFonts w:eastAsiaTheme="minorEastAsia"/>
        </w:rPr>
        <w:t>Hence, t</w:t>
      </w:r>
      <w:r w:rsidR="00AF25B7">
        <w:rPr>
          <w:rFonts w:eastAsiaTheme="minorEastAsia"/>
        </w:rPr>
        <w:t>his method is implemented to improve the POS tagger performance.</w:t>
      </w:r>
    </w:p>
    <w:p w:rsidR="00FC6986" w:rsidRDefault="00FC6986" w:rsidP="00FC6986">
      <w:pPr>
        <w:pStyle w:val="Heading2"/>
        <w:numPr>
          <w:ilvl w:val="1"/>
          <w:numId w:val="1"/>
        </w:numPr>
      </w:pPr>
      <w:r>
        <w:t>Interpolation</w:t>
      </w:r>
    </w:p>
    <w:p w:rsidR="00FC6986" w:rsidRDefault="00FC6986" w:rsidP="00856F55">
      <w:pPr>
        <w:spacing w:after="0"/>
        <w:jc w:val="both"/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n-US"/>
        </w:rPr>
      </w:pPr>
      <w:r>
        <w:t xml:space="preserve">To improve the performance of the POS tagger further, interpolation </w:t>
      </w:r>
      <w:r w:rsidR="009F356F">
        <w:t>was</w:t>
      </w:r>
      <w:r>
        <w:t xml:space="preserve"> adopted and implemented. The pr</w:t>
      </w:r>
      <w:r w:rsidR="00352961">
        <w:t>ogram will automatically detect</w:t>
      </w:r>
      <w:r>
        <w:t xml:space="preserve"> and find the best value</w:t>
      </w:r>
      <w:r w:rsidRPr="00FC6986">
        <w:rPr>
          <w:rFonts w:asciiTheme="majorHAnsi" w:hAnsiTheme="majorHAnsi" w:cstheme="majorHAnsi"/>
          <w:szCs w:val="24"/>
        </w:rPr>
        <w:t xml:space="preserve"> for </w:t>
      </w:r>
      <w:r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l-GR"/>
        </w:rPr>
        <w:t>λ</w:t>
      </w:r>
      <w:r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vertAlign w:val="subscript"/>
          <w:lang w:val="en-US"/>
        </w:rPr>
        <w:t>1</w:t>
      </w:r>
      <w:r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n-US"/>
        </w:rPr>
        <w:t xml:space="preserve"> and </w:t>
      </w:r>
      <w:r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l-GR"/>
        </w:rPr>
        <w:t>λ</w:t>
      </w:r>
      <w:r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vertAlign w:val="subscript"/>
          <w:lang w:val="en-US"/>
        </w:rPr>
        <w:t>2</w:t>
      </w:r>
      <w:r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n-US"/>
        </w:rPr>
        <w:t xml:space="preserve"> and they are used with the </w:t>
      </w:r>
      <w:r w:rsidR="002959D3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n-US"/>
        </w:rPr>
        <w:t>equations</w:t>
      </w:r>
      <w:r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n-US"/>
        </w:rPr>
        <w:t xml:space="preserve"> below:</w:t>
      </w:r>
    </w:p>
    <w:p w:rsidR="00244E56" w:rsidRPr="00244E56" w:rsidRDefault="00290151" w:rsidP="00244E56">
      <w:pPr>
        <w:spacing w:after="0"/>
        <w:rPr>
          <w:rFonts w:asciiTheme="majorHAnsi" w:eastAsiaTheme="minorEastAsia" w:hAnsiTheme="majorHAnsi" w:cstheme="majorHAns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where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 xml:space="preserve">                            (9)     </m:t>
          </m:r>
        </m:oMath>
      </m:oMathPara>
    </w:p>
    <w:p w:rsidR="00244E56" w:rsidRPr="00244E56" w:rsidRDefault="00290151" w:rsidP="00856F55">
      <w:pPr>
        <w:spacing w:after="0"/>
        <w:rPr>
          <w:rFonts w:asciiTheme="majorHAnsi" w:eastAsiaTheme="minorEastAsia" w:hAnsiTheme="majorHAnsi" w:cstheme="majorHAns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where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 xml:space="preserve">                            (10)   </m:t>
          </m:r>
        </m:oMath>
      </m:oMathPara>
    </w:p>
    <w:p w:rsidR="00244E56" w:rsidRPr="005F6316" w:rsidRDefault="00244E56" w:rsidP="00857A52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The POS Tagger now uses </w:t>
      </w:r>
      <w:r w:rsidR="00F061C7">
        <w:rPr>
          <w:rFonts w:asciiTheme="majorHAnsi" w:eastAsiaTheme="minorEastAsia" w:hAnsiTheme="majorHAnsi" w:cstheme="majorHAnsi"/>
        </w:rPr>
        <w:t xml:space="preserve">new </w:t>
      </w:r>
      <w:r>
        <w:rPr>
          <w:rFonts w:asciiTheme="majorHAnsi" w:eastAsiaTheme="minorEastAsia" w:hAnsiTheme="majorHAnsi" w:cstheme="majorHAnsi"/>
        </w:rPr>
        <w:t xml:space="preserve">probability </w:t>
      </w:r>
      <m:oMath>
        <m:r>
          <w:rPr>
            <w:rFonts w:ascii="Cambria Math" w:eastAsiaTheme="minorEastAsia" w:hAnsi="Cambria Math" w:cstheme="majorHAnsi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asciiTheme="majorHAnsi" w:eastAsiaTheme="minorEastAsia" w:hAnsiTheme="majorHAnsi" w:cstheme="majorHAnsi"/>
        </w:rPr>
        <w:t xml:space="preserve"> instead of the </w:t>
      </w:r>
      <w:proofErr w:type="spellStart"/>
      <w:r>
        <w:rPr>
          <w:rFonts w:asciiTheme="majorHAnsi" w:eastAsiaTheme="minorEastAsia" w:hAnsiTheme="majorHAnsi" w:cstheme="majorHAnsi"/>
        </w:rPr>
        <w:t>Kneser</w:t>
      </w:r>
      <w:proofErr w:type="spellEnd"/>
      <w:r>
        <w:rPr>
          <w:rFonts w:asciiTheme="majorHAnsi" w:eastAsiaTheme="minorEastAsia" w:hAnsiTheme="majorHAnsi" w:cstheme="majorHAnsi"/>
        </w:rPr>
        <w:t>-Ney Smoothed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ajorHAnsi" w:eastAsiaTheme="minorEastAsia" w:hAnsiTheme="majorHAnsi" w:cstheme="majorHAnsi"/>
        </w:rPr>
        <w:t xml:space="preserve"> probability.</w:t>
      </w:r>
      <w:r w:rsidR="005E21F4">
        <w:rPr>
          <w:rFonts w:asciiTheme="majorHAnsi" w:eastAsiaTheme="minorEastAsia" w:hAnsiTheme="majorHAnsi" w:cstheme="majorHAnsi"/>
        </w:rPr>
        <w:t xml:space="preserve"> Optimal interpolation weight</w:t>
      </w:r>
      <w:r w:rsidR="006D042E">
        <w:rPr>
          <w:rFonts w:asciiTheme="majorHAnsi" w:eastAsiaTheme="minorEastAsia" w:hAnsiTheme="majorHAnsi" w:cstheme="majorHAnsi"/>
        </w:rPr>
        <w:t>s</w:t>
      </w:r>
      <w:r w:rsidR="005E21F4">
        <w:rPr>
          <w:rFonts w:asciiTheme="majorHAnsi" w:eastAsiaTheme="minorEastAsia" w:hAnsiTheme="majorHAnsi" w:cstheme="majorHAnsi"/>
        </w:rPr>
        <w:t xml:space="preserve"> </w:t>
      </w:r>
      <w:r w:rsidR="005E21F4"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l-GR"/>
        </w:rPr>
        <w:t>λ</w:t>
      </w:r>
      <w:r w:rsidR="005E21F4"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vertAlign w:val="subscript"/>
          <w:lang w:val="en-US"/>
        </w:rPr>
        <w:t>1</w:t>
      </w:r>
      <w:r w:rsidR="005E21F4"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n-US"/>
        </w:rPr>
        <w:t xml:space="preserve"> and </w:t>
      </w:r>
      <w:r w:rsidR="005E21F4"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l-GR"/>
        </w:rPr>
        <w:t>λ</w:t>
      </w:r>
      <w:r w:rsidR="005E21F4" w:rsidRPr="00FC6986">
        <w:rPr>
          <w:rFonts w:asciiTheme="majorHAnsi" w:hAnsiTheme="majorHAnsi" w:cstheme="majorHAnsi"/>
          <w:bCs/>
          <w:color w:val="252525"/>
          <w:szCs w:val="24"/>
          <w:shd w:val="clear" w:color="auto" w:fill="FFFFFF"/>
          <w:vertAlign w:val="subscript"/>
          <w:lang w:val="en-US"/>
        </w:rPr>
        <w:t>2</w:t>
      </w:r>
      <w:r w:rsidR="005E21F4">
        <w:rPr>
          <w:rFonts w:asciiTheme="majorHAnsi" w:hAnsiTheme="majorHAnsi" w:cstheme="majorHAnsi"/>
          <w:bCs/>
          <w:color w:val="252525"/>
          <w:szCs w:val="24"/>
          <w:shd w:val="clear" w:color="auto" w:fill="FFFFFF"/>
          <w:lang w:val="en-US"/>
        </w:rPr>
        <w:t xml:space="preserve"> are estimated and computed automatically by the program. It will start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=1.00</m:t>
        </m:r>
      </m:oMath>
      <w:r w:rsidR="005E21F4">
        <w:rPr>
          <w:rFonts w:asciiTheme="majorHAnsi" w:eastAsiaTheme="minorEastAsia" w:hAnsiTheme="majorHAnsi" w:cstheme="majorHAnsi"/>
        </w:rPr>
        <w:t xml:space="preserve"> </w:t>
      </w:r>
      <w:r w:rsidR="00A41B2C">
        <w:rPr>
          <w:rFonts w:asciiTheme="majorHAnsi" w:eastAsiaTheme="minorEastAsia" w:hAnsiTheme="majorHAnsi" w:cstheme="majorHAnsi"/>
        </w:rPr>
        <w:t xml:space="preserve">because the bigram probability </w:t>
      </w:r>
      <w:r w:rsidR="002254CD">
        <w:rPr>
          <w:rFonts w:asciiTheme="majorHAnsi" w:eastAsiaTheme="minorEastAsia" w:hAnsiTheme="majorHAnsi" w:cstheme="majorHAnsi"/>
        </w:rPr>
        <w:t>has greater contribution</w:t>
      </w:r>
      <w:r w:rsidR="00A41B2C">
        <w:rPr>
          <w:rFonts w:asciiTheme="majorHAnsi" w:eastAsiaTheme="minorEastAsia" w:hAnsiTheme="majorHAnsi" w:cstheme="majorHAnsi"/>
        </w:rPr>
        <w:t xml:space="preserve"> compared to the unigram probability. Then it will run the POS tagger on the development file, compute the accuracy of the POS tagger and</w:t>
      </w:r>
      <w:r w:rsidR="005E21F4">
        <w:rPr>
          <w:rFonts w:asciiTheme="majorHAnsi" w:eastAsiaTheme="minorEastAsia" w:hAnsiTheme="majorHAnsi" w:cstheme="majorHAnsi"/>
        </w:rPr>
        <w:t xml:space="preserve"> </w:t>
      </w:r>
      <w:r w:rsidR="00A41B2C">
        <w:rPr>
          <w:rFonts w:asciiTheme="majorHAnsi" w:eastAsiaTheme="minorEastAsia" w:hAnsiTheme="majorHAnsi" w:cstheme="majorHAnsi"/>
        </w:rPr>
        <w:t xml:space="preserve">then repeat the process </w:t>
      </w:r>
      <w:r w:rsidR="005E21F4">
        <w:rPr>
          <w:rFonts w:asciiTheme="majorHAnsi" w:eastAsiaTheme="minorEastAsia" w:hAnsiTheme="majorHAnsi" w:cstheme="majorHAnsi"/>
        </w:rPr>
        <w:t>with 0.01 interval</w:t>
      </w:r>
      <w:r w:rsidR="00A41B2C">
        <w:rPr>
          <w:rFonts w:asciiTheme="majorHAnsi" w:eastAsiaTheme="minorEastAsia" w:hAnsiTheme="majorHAnsi" w:cstheme="majorHAnsi"/>
        </w:rPr>
        <w:t xml:space="preserve"> decrement</w:t>
      </w:r>
      <w:r w:rsidR="005E21F4">
        <w:rPr>
          <w:rFonts w:asciiTheme="majorHAnsi" w:eastAsiaTheme="minorEastAsia" w:hAnsiTheme="majorHAnsi" w:cstheme="majorHAnsi"/>
        </w:rPr>
        <w:t xml:space="preserve">. </w:t>
      </w:r>
      <w:r w:rsidR="005F6316">
        <w:rPr>
          <w:rFonts w:asciiTheme="majorHAnsi" w:eastAsiaTheme="minorEastAsia" w:hAnsiTheme="majorHAnsi" w:cstheme="majorHAnsi"/>
        </w:rPr>
        <w:t xml:space="preserve">The program will terminate evaluating the weights if the performance of the tagger does not improve after </w:t>
      </w:r>
      <w:r w:rsidR="005F6316" w:rsidRPr="005F6316">
        <w:rPr>
          <w:rFonts w:ascii="Cambria" w:eastAsiaTheme="minorEastAsia" w:hAnsi="Cambria" w:cstheme="majorHAnsi"/>
          <w:b/>
          <w:i/>
        </w:rPr>
        <w:t>m</w:t>
      </w:r>
      <w:r w:rsidR="005F6316">
        <w:rPr>
          <w:rFonts w:asciiTheme="majorHAnsi" w:eastAsiaTheme="minorEastAsia" w:hAnsiTheme="majorHAnsi" w:cstheme="majorHAnsi"/>
        </w:rPr>
        <w:t xml:space="preserve"> consecutive evaluation, where </w:t>
      </w:r>
      <w:r w:rsidR="005F6316" w:rsidRPr="005F6316">
        <w:rPr>
          <w:rFonts w:ascii="Cambria" w:eastAsiaTheme="minorEastAsia" w:hAnsi="Cambria" w:cstheme="majorHAnsi"/>
          <w:b/>
          <w:i/>
        </w:rPr>
        <w:t>m</w:t>
      </w:r>
      <w:r w:rsidR="005F6316">
        <w:rPr>
          <w:rFonts w:asciiTheme="majorHAnsi" w:eastAsiaTheme="minorEastAsia" w:hAnsiTheme="majorHAnsi" w:cstheme="majorHAnsi"/>
        </w:rPr>
        <w:t xml:space="preserve"> is the momentum or threshold value. </w:t>
      </w:r>
      <w:proofErr w:type="gramStart"/>
      <w:r w:rsidR="005F6316" w:rsidRPr="005F6316">
        <w:rPr>
          <w:rFonts w:ascii="Cambria" w:eastAsiaTheme="minorEastAsia" w:hAnsi="Cambria" w:cstheme="majorHAnsi"/>
          <w:b/>
          <w:i/>
        </w:rPr>
        <w:t>m</w:t>
      </w:r>
      <w:proofErr w:type="gramEnd"/>
      <w:r w:rsidR="005F6316">
        <w:rPr>
          <w:rFonts w:asciiTheme="majorHAnsi" w:eastAsiaTheme="minorEastAsia" w:hAnsiTheme="majorHAnsi" w:cstheme="majorHAnsi"/>
        </w:rPr>
        <w:t xml:space="preserve"> is used to prevent the program to be trapped in local maxima. Hence it will continue evaluating </w:t>
      </w:r>
      <w:r w:rsidR="005F6316" w:rsidRPr="005F6316">
        <w:rPr>
          <w:rFonts w:ascii="Cambria" w:eastAsiaTheme="minorEastAsia" w:hAnsi="Cambria" w:cstheme="majorHAnsi"/>
          <w:b/>
          <w:i/>
        </w:rPr>
        <w:t>m</w:t>
      </w:r>
      <w:r w:rsidR="005F6316">
        <w:rPr>
          <w:rFonts w:asciiTheme="majorHAnsi" w:eastAsiaTheme="minorEastAsia" w:hAnsiTheme="majorHAnsi" w:cstheme="majorHAnsi"/>
        </w:rPr>
        <w:t xml:space="preserve"> times to </w:t>
      </w:r>
      <w:r w:rsidR="00255679">
        <w:rPr>
          <w:rFonts w:asciiTheme="majorHAnsi" w:eastAsiaTheme="minorEastAsia" w:hAnsiTheme="majorHAnsi" w:cstheme="majorHAnsi"/>
        </w:rPr>
        <w:t>check</w:t>
      </w:r>
      <w:r w:rsidR="005F6316">
        <w:rPr>
          <w:rFonts w:asciiTheme="majorHAnsi" w:eastAsiaTheme="minorEastAsia" w:hAnsiTheme="majorHAnsi" w:cstheme="majorHAnsi"/>
        </w:rPr>
        <w:t xml:space="preserve"> whether the performance can be improved. After </w:t>
      </w:r>
      <w:r w:rsidR="00CE5138">
        <w:rPr>
          <w:rFonts w:asciiTheme="majorHAnsi" w:eastAsiaTheme="minorEastAsia" w:hAnsiTheme="majorHAnsi" w:cstheme="majorHAnsi"/>
        </w:rPr>
        <w:t>thorough evaluation and analysis</w:t>
      </w:r>
      <w:r w:rsidR="005F6316">
        <w:rPr>
          <w:rFonts w:asciiTheme="majorHAnsi" w:eastAsiaTheme="minorEastAsia" w:hAnsiTheme="majorHAnsi" w:cstheme="majorHAnsi"/>
        </w:rPr>
        <w:t xml:space="preserve">, the optimum value of </w:t>
      </w:r>
      <w:r w:rsidR="005F6316" w:rsidRPr="005F6316">
        <w:rPr>
          <w:rFonts w:ascii="Cambria" w:eastAsiaTheme="minorEastAsia" w:hAnsi="Cambria" w:cstheme="majorHAnsi"/>
          <w:b/>
          <w:i/>
        </w:rPr>
        <w:t>m</w:t>
      </w:r>
      <w:r w:rsidR="005F6316">
        <w:rPr>
          <w:rFonts w:ascii="Cambria" w:eastAsiaTheme="minorEastAsia" w:hAnsi="Cambria" w:cstheme="majorHAnsi"/>
        </w:rPr>
        <w:t xml:space="preserve"> </w:t>
      </w:r>
      <w:r w:rsidR="00B7756C">
        <w:rPr>
          <w:rFonts w:ascii="Cambria" w:eastAsiaTheme="minorEastAsia" w:hAnsi="Cambria" w:cstheme="majorHAnsi"/>
        </w:rPr>
        <w:t>was found to be</w:t>
      </w:r>
      <w:r w:rsidR="005F6316">
        <w:rPr>
          <w:rFonts w:ascii="Cambria" w:eastAsiaTheme="minorEastAsia" w:hAnsi="Cambria" w:cstheme="majorHAnsi"/>
        </w:rPr>
        <w:t xml:space="preserve"> 3. </w:t>
      </w:r>
    </w:p>
    <w:p w:rsidR="00757A9E" w:rsidRDefault="00F67F6D" w:rsidP="00FC6986">
      <w:pPr>
        <w:rPr>
          <w:rFonts w:asciiTheme="majorHAnsi" w:eastAsiaTheme="minorEastAsia" w:hAnsiTheme="majorHAnsi" w:cstheme="majorHAnsi"/>
          <w:bCs/>
          <w:color w:val="252525"/>
          <w:szCs w:val="24"/>
          <w:shd w:val="clear" w:color="auto" w:fill="FFFFFF"/>
          <w:lang w:val="en-US"/>
        </w:rPr>
      </w:pPr>
      <w:r>
        <w:rPr>
          <w:rFonts w:asciiTheme="majorHAnsi" w:eastAsiaTheme="minorEastAsia" w:hAnsiTheme="majorHAnsi" w:cstheme="majorHAnsi"/>
          <w:bCs/>
          <w:noProof/>
          <w:color w:val="252525"/>
          <w:szCs w:val="24"/>
          <w:shd w:val="clear" w:color="auto" w:fill="FFFFFF"/>
          <w:lang w:eastAsia="en-SG"/>
        </w:rPr>
        <w:lastRenderedPageBreak/>
        <w:drawing>
          <wp:anchor distT="0" distB="0" distL="114300" distR="114300" simplePos="0" relativeHeight="251658240" behindDoc="1" locked="0" layoutInCell="1" allowOverlap="1" wp14:anchorId="4990F248" wp14:editId="58AB8035">
            <wp:simplePos x="0" y="0"/>
            <wp:positionH relativeFrom="column">
              <wp:posOffset>5534</wp:posOffset>
            </wp:positionH>
            <wp:positionV relativeFrom="paragraph">
              <wp:posOffset>-379004</wp:posOffset>
            </wp:positionV>
            <wp:extent cx="6190615" cy="2590800"/>
            <wp:effectExtent l="0" t="0" r="635" b="0"/>
            <wp:wrapNone/>
            <wp:docPr id="2" name="Picture 2" descr="D:\My Uni\Semester 5\CS4248\assignment2\StochasticPOSTagger\documentation\Interpolation Performance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Uni\Semester 5\CS4248\assignment2\StochasticPOSTagger\documentation\Interpolation Performance analys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A9E" w:rsidRPr="00757A9E" w:rsidRDefault="00757A9E" w:rsidP="00757A9E">
      <w:pPr>
        <w:rPr>
          <w:rFonts w:asciiTheme="majorHAnsi" w:eastAsiaTheme="minorEastAsia" w:hAnsiTheme="majorHAnsi" w:cstheme="majorHAnsi"/>
          <w:szCs w:val="24"/>
          <w:lang w:val="en-US"/>
        </w:rPr>
      </w:pPr>
    </w:p>
    <w:p w:rsidR="00757A9E" w:rsidRPr="00757A9E" w:rsidRDefault="00757A9E" w:rsidP="00757A9E">
      <w:pPr>
        <w:rPr>
          <w:rFonts w:asciiTheme="majorHAnsi" w:eastAsiaTheme="minorEastAsia" w:hAnsiTheme="majorHAnsi" w:cstheme="majorHAnsi"/>
          <w:szCs w:val="24"/>
          <w:lang w:val="en-US"/>
        </w:rPr>
      </w:pPr>
    </w:p>
    <w:p w:rsidR="00757A9E" w:rsidRPr="00757A9E" w:rsidRDefault="00757A9E" w:rsidP="00757A9E">
      <w:pPr>
        <w:rPr>
          <w:rFonts w:asciiTheme="majorHAnsi" w:eastAsiaTheme="minorEastAsia" w:hAnsiTheme="majorHAnsi" w:cstheme="majorHAnsi"/>
          <w:szCs w:val="24"/>
          <w:lang w:val="en-US"/>
        </w:rPr>
      </w:pPr>
    </w:p>
    <w:p w:rsidR="00757A9E" w:rsidRPr="00757A9E" w:rsidRDefault="00757A9E" w:rsidP="00757A9E">
      <w:pPr>
        <w:rPr>
          <w:rFonts w:asciiTheme="majorHAnsi" w:eastAsiaTheme="minorEastAsia" w:hAnsiTheme="majorHAnsi" w:cstheme="majorHAnsi"/>
          <w:szCs w:val="24"/>
          <w:lang w:val="en-US"/>
        </w:rPr>
      </w:pPr>
    </w:p>
    <w:p w:rsidR="00757A9E" w:rsidRPr="00757A9E" w:rsidRDefault="00757A9E" w:rsidP="00757A9E">
      <w:pPr>
        <w:rPr>
          <w:rFonts w:asciiTheme="majorHAnsi" w:eastAsiaTheme="minorEastAsia" w:hAnsiTheme="majorHAnsi" w:cstheme="majorHAnsi"/>
          <w:szCs w:val="24"/>
          <w:lang w:val="en-US"/>
        </w:rPr>
      </w:pPr>
    </w:p>
    <w:p w:rsidR="00757A9E" w:rsidRDefault="00757A9E" w:rsidP="00757A9E">
      <w:pPr>
        <w:rPr>
          <w:rFonts w:asciiTheme="majorHAnsi" w:eastAsiaTheme="minorEastAsia" w:hAnsiTheme="majorHAnsi" w:cstheme="majorHAnsi"/>
          <w:szCs w:val="24"/>
          <w:lang w:val="en-US"/>
        </w:rPr>
      </w:pPr>
    </w:p>
    <w:p w:rsidR="00244E56" w:rsidRDefault="00757A9E" w:rsidP="00757A9E">
      <w:pPr>
        <w:ind w:firstLine="720"/>
        <w:jc w:val="center"/>
        <w:rPr>
          <w:rFonts w:asciiTheme="majorHAnsi" w:eastAsiaTheme="minorEastAsia" w:hAnsiTheme="majorHAnsi" w:cstheme="majorHAnsi"/>
          <w:szCs w:val="24"/>
          <w:lang w:val="en-US"/>
        </w:rPr>
      </w:pPr>
      <w:proofErr w:type="gramStart"/>
      <w:r>
        <w:rPr>
          <w:rFonts w:asciiTheme="majorHAnsi" w:eastAsiaTheme="minorEastAsia" w:hAnsiTheme="majorHAnsi" w:cstheme="majorHAnsi"/>
          <w:szCs w:val="24"/>
          <w:lang w:val="en-US"/>
        </w:rPr>
        <w:t>Graph 1.</w:t>
      </w:r>
      <w:proofErr w:type="gramEnd"/>
      <w:r>
        <w:rPr>
          <w:rFonts w:asciiTheme="majorHAnsi" w:eastAsiaTheme="minorEastAsia" w:hAnsiTheme="majorHAnsi" w:cstheme="majorHAnsi"/>
          <w:szCs w:val="24"/>
          <w:lang w:val="en-US"/>
        </w:rPr>
        <w:t xml:space="preserve"> Interpolation performance analysis</w:t>
      </w:r>
      <w:r w:rsidR="00726BE3">
        <w:rPr>
          <w:rFonts w:asciiTheme="majorHAnsi" w:eastAsiaTheme="minorEastAsia" w:hAnsiTheme="majorHAnsi" w:cstheme="majorHAnsi"/>
          <w:szCs w:val="24"/>
          <w:lang w:val="en-US"/>
        </w:rPr>
        <w:t xml:space="preserve"> using </w:t>
      </w:r>
      <w:proofErr w:type="spellStart"/>
      <w:r w:rsidR="00726BE3" w:rsidRPr="00726BE3">
        <w:rPr>
          <w:rFonts w:ascii="Consolas" w:eastAsiaTheme="minorEastAsia" w:hAnsi="Consolas" w:cs="Consolas"/>
          <w:sz w:val="22"/>
          <w:lang w:val="en-US"/>
        </w:rPr>
        <w:t>sents.train</w:t>
      </w:r>
      <w:proofErr w:type="spellEnd"/>
      <w:r w:rsidR="00726BE3">
        <w:rPr>
          <w:rFonts w:asciiTheme="majorHAnsi" w:eastAsiaTheme="minorEastAsia" w:hAnsiTheme="majorHAnsi" w:cstheme="majorHAnsi"/>
          <w:szCs w:val="24"/>
          <w:lang w:val="en-US"/>
        </w:rPr>
        <w:t xml:space="preserve"> and </w:t>
      </w:r>
      <w:proofErr w:type="spellStart"/>
      <w:r w:rsidR="00726BE3" w:rsidRPr="00726BE3">
        <w:rPr>
          <w:rFonts w:ascii="Consolas" w:eastAsiaTheme="minorEastAsia" w:hAnsi="Consolas" w:cs="Consolas"/>
          <w:sz w:val="22"/>
          <w:lang w:val="en-US"/>
        </w:rPr>
        <w:t>sents.devt</w:t>
      </w:r>
      <w:proofErr w:type="spellEnd"/>
    </w:p>
    <w:p w:rsidR="00757A9E" w:rsidRDefault="00757A9E" w:rsidP="00857A52">
      <w:pPr>
        <w:jc w:val="both"/>
        <w:rPr>
          <w:rFonts w:asciiTheme="majorHAnsi" w:eastAsiaTheme="minorEastAsia" w:hAnsiTheme="majorHAnsi" w:cstheme="majorHAnsi"/>
          <w:szCs w:val="24"/>
          <w:lang w:val="en-US"/>
        </w:rPr>
      </w:pPr>
      <w:r>
        <w:rPr>
          <w:rFonts w:asciiTheme="majorHAnsi" w:eastAsiaTheme="minorEastAsia" w:hAnsiTheme="majorHAnsi" w:cstheme="majorHAnsi"/>
          <w:szCs w:val="24"/>
          <w:lang w:val="en-US"/>
        </w:rPr>
        <w:t xml:space="preserve">After computing the probability with optimum interpolation weight, POS tagger will now use the new probability </w:t>
      </w:r>
      <m:oMath>
        <m:r>
          <w:rPr>
            <w:rFonts w:ascii="Cambria Math" w:eastAsiaTheme="minorEastAsia" w:hAnsi="Cambria Math" w:cstheme="majorHAnsi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  <w:szCs w:val="24"/>
          <w:lang w:val="en-US"/>
        </w:rPr>
        <w:t>to evaluate sentences and a</w:t>
      </w:r>
      <w:r w:rsidR="0022468E">
        <w:rPr>
          <w:rFonts w:asciiTheme="majorHAnsi" w:eastAsiaTheme="minorEastAsia" w:hAnsiTheme="majorHAnsi" w:cstheme="majorHAnsi"/>
          <w:szCs w:val="24"/>
          <w:lang w:val="en-US"/>
        </w:rPr>
        <w:t>ssign POS tag</w:t>
      </w:r>
      <w:r>
        <w:rPr>
          <w:rFonts w:asciiTheme="majorHAnsi" w:eastAsiaTheme="minorEastAsia" w:hAnsiTheme="majorHAnsi" w:cstheme="majorHAnsi"/>
          <w:szCs w:val="24"/>
          <w:lang w:val="en-US"/>
        </w:rPr>
        <w:t xml:space="preserve"> </w:t>
      </w:r>
      <w:r w:rsidR="00E14E74">
        <w:rPr>
          <w:rFonts w:asciiTheme="majorHAnsi" w:eastAsiaTheme="minorEastAsia" w:hAnsiTheme="majorHAnsi" w:cstheme="majorHAnsi"/>
          <w:szCs w:val="24"/>
          <w:lang w:val="en-US"/>
        </w:rPr>
        <w:t xml:space="preserve">to </w:t>
      </w:r>
      <w:r>
        <w:rPr>
          <w:rFonts w:asciiTheme="majorHAnsi" w:eastAsiaTheme="minorEastAsia" w:hAnsiTheme="majorHAnsi" w:cstheme="majorHAnsi"/>
          <w:szCs w:val="24"/>
          <w:lang w:val="en-US"/>
        </w:rPr>
        <w:t>each word.</w:t>
      </w:r>
    </w:p>
    <w:p w:rsidR="00857A52" w:rsidRDefault="00857A52" w:rsidP="00857A52">
      <w:pPr>
        <w:pStyle w:val="Heading1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Validation</w:t>
      </w:r>
    </w:p>
    <w:p w:rsidR="00857A52" w:rsidRDefault="00F67F6D" w:rsidP="00DD440C">
      <w:pPr>
        <w:jc w:val="both"/>
        <w:rPr>
          <w:lang w:val="en-US"/>
        </w:rPr>
      </w:pPr>
      <w:r>
        <w:rPr>
          <w:lang w:val="en-US"/>
        </w:rPr>
        <w:t xml:space="preserve">The POS tagger is validated by performing 10-fold cross-validation on the training data provided. A simple program is written to separate the training data into 10 </w:t>
      </w:r>
      <w:r w:rsidR="006A490D">
        <w:rPr>
          <w:lang w:val="en-US"/>
        </w:rPr>
        <w:t>distinct</w:t>
      </w:r>
      <w:r>
        <w:rPr>
          <w:lang w:val="en-US"/>
        </w:rPr>
        <w:t xml:space="preserve"> training data (includes 90% of the original training data) and 10</w:t>
      </w:r>
      <w:r w:rsidR="006A490D">
        <w:rPr>
          <w:lang w:val="en-US"/>
        </w:rPr>
        <w:t xml:space="preserve"> distinct</w:t>
      </w:r>
      <w:r>
        <w:rPr>
          <w:lang w:val="en-US"/>
        </w:rPr>
        <w:t xml:space="preserve"> test data (includes 10% of the original training data) respectively.</w:t>
      </w:r>
      <w:r w:rsidR="00041936">
        <w:rPr>
          <w:lang w:val="en-US"/>
        </w:rPr>
        <w:t xml:space="preserve"> The 10-fold</w:t>
      </w:r>
      <w:r w:rsidR="008003A7">
        <w:rPr>
          <w:lang w:val="en-US"/>
        </w:rPr>
        <w:t xml:space="preserve"> training and test set are then used to evaluate the POS tagger.</w:t>
      </w:r>
    </w:p>
    <w:p w:rsidR="00A2027A" w:rsidRDefault="00C7072E" w:rsidP="00DD440C">
      <w:pPr>
        <w:jc w:val="both"/>
        <w:rPr>
          <w:lang w:val="en-US"/>
        </w:rPr>
      </w:pPr>
      <w:r>
        <w:rPr>
          <w:lang w:val="en-US"/>
        </w:rPr>
        <w:t>The attributes used to benchmark the perfor</w:t>
      </w:r>
      <w:r w:rsidR="00041936">
        <w:rPr>
          <w:lang w:val="en-US"/>
        </w:rPr>
        <w:t>mance of the POS Tagger include</w:t>
      </w:r>
      <w:r>
        <w:rPr>
          <w:lang w:val="en-US"/>
        </w:rPr>
        <w:t xml:space="preserve">: </w:t>
      </w:r>
      <w:r w:rsidR="00471279">
        <w:rPr>
          <w:lang w:val="en-US"/>
        </w:rPr>
        <w:t>Recall/True-Positive Rate, False-Positive Rate,</w:t>
      </w:r>
      <w:r>
        <w:rPr>
          <w:lang w:val="en-US"/>
        </w:rPr>
        <w:t xml:space="preserve"> Precision, and F-Measure</w:t>
      </w:r>
      <w:r w:rsidR="00471279">
        <w:rPr>
          <w:lang w:val="en-US"/>
        </w:rPr>
        <w:t xml:space="preserve">. </w:t>
      </w:r>
      <w:r>
        <w:rPr>
          <w:lang w:val="en-US"/>
        </w:rPr>
        <w:t>For each fold, the</w:t>
      </w:r>
      <w:r w:rsidR="00471279">
        <w:rPr>
          <w:lang w:val="en-US"/>
        </w:rPr>
        <w:t xml:space="preserve"> weighted </w:t>
      </w:r>
      <w:r>
        <w:rPr>
          <w:lang w:val="en-US"/>
        </w:rPr>
        <w:t>averages of the 4 attributes mentioned above are</w:t>
      </w:r>
      <w:r w:rsidR="00471279">
        <w:rPr>
          <w:lang w:val="en-US"/>
        </w:rPr>
        <w:t xml:space="preserve"> calculated</w:t>
      </w:r>
      <w:r>
        <w:rPr>
          <w:lang w:val="en-US"/>
        </w:rPr>
        <w:t xml:space="preserve"> to analyze the POS tagger’s performance as a whole</w:t>
      </w:r>
      <w:r w:rsidR="00A2027A">
        <w:rPr>
          <w:lang w:val="en-US"/>
        </w:rPr>
        <w:t>.</w:t>
      </w:r>
    </w:p>
    <w:p w:rsidR="006A490D" w:rsidRDefault="00C7072E" w:rsidP="00DD440C">
      <w:pPr>
        <w:jc w:val="both"/>
        <w:rPr>
          <w:lang w:val="en-US"/>
        </w:rPr>
      </w:pPr>
      <w:r>
        <w:rPr>
          <w:lang w:val="en-US"/>
        </w:rPr>
        <w:t>The result</w:t>
      </w:r>
      <w:r w:rsidR="007A7CAB">
        <w:rPr>
          <w:lang w:val="en-US"/>
        </w:rPr>
        <w:t>s</w:t>
      </w:r>
      <w:r>
        <w:rPr>
          <w:lang w:val="en-US"/>
        </w:rPr>
        <w:t xml:space="preserve"> </w:t>
      </w:r>
      <w:r w:rsidR="007A7CAB">
        <w:rPr>
          <w:lang w:val="en-US"/>
        </w:rPr>
        <w:t>are</w:t>
      </w:r>
      <w:r>
        <w:rPr>
          <w:lang w:val="en-US"/>
        </w:rPr>
        <w:t xml:space="preserve"> summarized in the following table</w:t>
      </w:r>
      <w:r w:rsidR="007A7CAB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C3519A" w:rsidRPr="00DD440C" w:rsidTr="00DD440C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769" w:rsidRPr="00DD440C" w:rsidRDefault="00547BD8" w:rsidP="00DD440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="00822769" w:rsidRPr="00DD440C">
              <w:rPr>
                <w:b/>
                <w:lang w:val="en-US"/>
              </w:rPr>
              <w:t>-</w:t>
            </w:r>
            <w:proofErr w:type="spellStart"/>
            <w:r w:rsidR="00822769" w:rsidRPr="00DD440C">
              <w:rPr>
                <w:b/>
                <w:lang w:val="en-US"/>
              </w:rPr>
              <w:t>th</w:t>
            </w:r>
            <w:proofErr w:type="spellEnd"/>
            <w:r w:rsidR="00822769" w:rsidRPr="00DD440C">
              <w:rPr>
                <w:b/>
                <w:lang w:val="en-US"/>
              </w:rPr>
              <w:t xml:space="preserve"> fold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19A" w:rsidRPr="00DD440C" w:rsidRDefault="002A5C63" w:rsidP="00DD440C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Recall / TP-Rate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19A" w:rsidRPr="00DD440C" w:rsidRDefault="002A5C63" w:rsidP="00DD440C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FP-Rate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19A" w:rsidRPr="00DD440C" w:rsidRDefault="002A5C63" w:rsidP="00DD440C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Precision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19A" w:rsidRPr="00DD440C" w:rsidRDefault="002A5C63" w:rsidP="00DD440C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F-Measure</w:t>
            </w:r>
          </w:p>
        </w:tc>
      </w:tr>
      <w:tr w:rsidR="00E91840" w:rsidRPr="00DD440C" w:rsidTr="00DD440C"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0.94948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0.00366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0.95058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0.94981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2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0.95039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0.00361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0.95221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0.95103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3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0.95388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0.00333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0.95451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0.95402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4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0.95321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0.00348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0.95382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0.95327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5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0.95148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0.00352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0.95234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0.95175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6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0.95272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0.00332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0.95382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0.95315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7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0.94928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0.00353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0.95098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0.94987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8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0.95063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0.00341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0.95277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0.95136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9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0.95458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0.00321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0.95571</w:t>
            </w:r>
          </w:p>
        </w:tc>
        <w:tc>
          <w:tcPr>
            <w:tcW w:w="1993" w:type="dxa"/>
            <w:tcBorders>
              <w:left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0.95495</w:t>
            </w:r>
          </w:p>
        </w:tc>
      </w:tr>
      <w:tr w:rsidR="00E91840" w:rsidRPr="00DD440C" w:rsidTr="00DD440C">
        <w:tc>
          <w:tcPr>
            <w:tcW w:w="1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40" w:rsidRPr="00DD440C" w:rsidRDefault="00E91840" w:rsidP="00DD440C">
            <w:pPr>
              <w:jc w:val="center"/>
              <w:rPr>
                <w:lang w:val="en-US"/>
              </w:rPr>
            </w:pPr>
            <w:r w:rsidRPr="00DD440C">
              <w:rPr>
                <w:lang w:val="en-US"/>
              </w:rPr>
              <w:t>10</w:t>
            </w:r>
          </w:p>
        </w:tc>
        <w:tc>
          <w:tcPr>
            <w:tcW w:w="1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0.95025</w:t>
            </w:r>
          </w:p>
        </w:tc>
        <w:tc>
          <w:tcPr>
            <w:tcW w:w="1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0.00351</w:t>
            </w:r>
          </w:p>
        </w:tc>
        <w:tc>
          <w:tcPr>
            <w:tcW w:w="1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0.95145</w:t>
            </w:r>
          </w:p>
        </w:tc>
        <w:tc>
          <w:tcPr>
            <w:tcW w:w="1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40" w:rsidRPr="00BF13FF" w:rsidRDefault="00E91840" w:rsidP="00E91840">
            <w:pPr>
              <w:jc w:val="center"/>
            </w:pPr>
            <w:r w:rsidRPr="00BF13FF">
              <w:t>0.95056</w:t>
            </w:r>
          </w:p>
        </w:tc>
      </w:tr>
      <w:tr w:rsidR="00DD440C" w:rsidRPr="00DD440C" w:rsidTr="00DD440C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0C" w:rsidRPr="00DD440C" w:rsidRDefault="00DD440C" w:rsidP="00DD440C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Average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0C" w:rsidRPr="00DD440C" w:rsidRDefault="00E91840" w:rsidP="00DD4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0.95159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0C" w:rsidRPr="00DD440C" w:rsidRDefault="00E91840" w:rsidP="00DD4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0.00346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0C" w:rsidRPr="00DD440C" w:rsidRDefault="00E91840" w:rsidP="00DD4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0.95282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0C" w:rsidRPr="00DD440C" w:rsidRDefault="006D5729" w:rsidP="00DD4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0.95198</w:t>
            </w:r>
          </w:p>
        </w:tc>
      </w:tr>
    </w:tbl>
    <w:p w:rsidR="00DD440C" w:rsidRDefault="00DD440C" w:rsidP="00DD440C">
      <w:pPr>
        <w:spacing w:before="120"/>
        <w:jc w:val="center"/>
        <w:rPr>
          <w:rFonts w:ascii="Consolas" w:hAnsi="Consolas" w:cs="Consolas"/>
          <w:sz w:val="22"/>
        </w:rPr>
      </w:pPr>
      <w:r>
        <w:t xml:space="preserve">Table 3 – Summary of 10-fold cross-validation on </w:t>
      </w:r>
      <w:proofErr w:type="spellStart"/>
      <w:r w:rsidRPr="00DD440C">
        <w:rPr>
          <w:rFonts w:ascii="Consolas" w:hAnsi="Consolas" w:cs="Consolas"/>
          <w:sz w:val="22"/>
        </w:rPr>
        <w:t>sents.train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891EE8" w:rsidRPr="00DD440C" w:rsidTr="004B3145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891EE8" w:rsidP="004B314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891EE8" w:rsidP="004B3145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Recall / TP-Rate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891EE8" w:rsidP="004B3145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FP-Rate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891EE8" w:rsidP="004B3145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Precision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891EE8" w:rsidP="004B3145">
            <w:pPr>
              <w:jc w:val="center"/>
              <w:rPr>
                <w:b/>
                <w:lang w:val="en-US"/>
              </w:rPr>
            </w:pPr>
            <w:r w:rsidRPr="00DD440C">
              <w:rPr>
                <w:b/>
                <w:lang w:val="en-US"/>
              </w:rPr>
              <w:t>F-Measure</w:t>
            </w:r>
          </w:p>
        </w:tc>
      </w:tr>
      <w:tr w:rsidR="00891EE8" w:rsidRPr="00DD440C" w:rsidTr="006010F2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6010F2" w:rsidRDefault="00891EE8" w:rsidP="004B3145">
            <w:pPr>
              <w:jc w:val="center"/>
              <w:rPr>
                <w:b/>
                <w:lang w:val="en-US"/>
              </w:rPr>
            </w:pPr>
            <w:r w:rsidRPr="006010F2">
              <w:rPr>
                <w:b/>
                <w:lang w:val="en-US"/>
              </w:rPr>
              <w:t>Development set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AB418D" w:rsidP="004B31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0.95698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AB418D" w:rsidP="004B31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0.00307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AB418D" w:rsidP="004B31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0.95871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E8" w:rsidRPr="00DD440C" w:rsidRDefault="00AB418D" w:rsidP="004B31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0.95740</w:t>
            </w:r>
          </w:p>
        </w:tc>
      </w:tr>
    </w:tbl>
    <w:p w:rsidR="006010F2" w:rsidRDefault="006010F2" w:rsidP="006010F2">
      <w:pPr>
        <w:spacing w:before="120"/>
        <w:jc w:val="center"/>
        <w:rPr>
          <w:rFonts w:ascii="Consolas" w:hAnsi="Consolas" w:cs="Consolas"/>
          <w:sz w:val="22"/>
        </w:rPr>
      </w:pPr>
      <w:r>
        <w:t xml:space="preserve">Table 4 – Summary of validation on </w:t>
      </w:r>
      <w:proofErr w:type="spellStart"/>
      <w:r w:rsidRPr="00DD440C">
        <w:rPr>
          <w:rFonts w:ascii="Consolas" w:hAnsi="Consolas" w:cs="Consolas"/>
          <w:sz w:val="22"/>
        </w:rPr>
        <w:t>sents.</w:t>
      </w:r>
      <w:r>
        <w:rPr>
          <w:rFonts w:ascii="Consolas" w:hAnsi="Consolas" w:cs="Consolas"/>
          <w:sz w:val="22"/>
        </w:rPr>
        <w:t>devt</w:t>
      </w:r>
      <w:proofErr w:type="spellEnd"/>
    </w:p>
    <w:p w:rsidR="004B3145" w:rsidRDefault="00DD440C" w:rsidP="00F86CB1">
      <w:pPr>
        <w:jc w:val="both"/>
        <w:rPr>
          <w:lang w:val="en-US"/>
        </w:rPr>
      </w:pPr>
      <w:r>
        <w:rPr>
          <w:lang w:val="en-US"/>
        </w:rPr>
        <w:t xml:space="preserve">In conclusion, the </w:t>
      </w:r>
      <w:bookmarkStart w:id="0" w:name="_GoBack"/>
      <w:bookmarkEnd w:id="0"/>
      <w:r>
        <w:rPr>
          <w:lang w:val="en-US"/>
        </w:rPr>
        <w:t xml:space="preserve">accuracy of the POS tagger is </w:t>
      </w:r>
      <w:r w:rsidR="00AB418D">
        <w:rPr>
          <w:b/>
          <w:lang w:val="en-US"/>
        </w:rPr>
        <w:t>95.159</w:t>
      </w:r>
      <w:r w:rsidRPr="00540EA7">
        <w:rPr>
          <w:b/>
          <w:lang w:val="en-US"/>
        </w:rPr>
        <w:t>%</w:t>
      </w:r>
      <w:r>
        <w:rPr>
          <w:lang w:val="en-US"/>
        </w:rPr>
        <w:t xml:space="preserve">, and </w:t>
      </w:r>
      <w:r w:rsidR="00AB418D">
        <w:rPr>
          <w:b/>
          <w:lang w:val="en-US"/>
        </w:rPr>
        <w:t>95.698</w:t>
      </w:r>
      <w:r w:rsidRPr="00540EA7">
        <w:rPr>
          <w:b/>
          <w:lang w:val="en-US"/>
        </w:rPr>
        <w:t>%</w:t>
      </w:r>
      <w:r>
        <w:rPr>
          <w:lang w:val="en-US"/>
        </w:rPr>
        <w:t xml:space="preserve"> on the training set and development set respectively.</w:t>
      </w:r>
      <w:r w:rsidR="004B3145">
        <w:rPr>
          <w:lang w:val="en-US"/>
        </w:rPr>
        <w:br w:type="page"/>
      </w:r>
    </w:p>
    <w:p w:rsidR="004B3145" w:rsidRDefault="004B3145" w:rsidP="005B36AE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lastRenderedPageBreak/>
        <w:t>Appendix (Optional)</w:t>
      </w:r>
    </w:p>
    <w:p w:rsidR="005B36AE" w:rsidRPr="005B36AE" w:rsidRDefault="005B36AE" w:rsidP="005B36AE">
      <w:pPr>
        <w:spacing w:after="120"/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Please</w:t>
      </w:r>
      <w:r w:rsidRPr="005B36AE">
        <w:rPr>
          <w:i/>
          <w:sz w:val="20"/>
          <w:szCs w:val="20"/>
          <w:lang w:val="en-US"/>
        </w:rPr>
        <w:t xml:space="preserve"> visit </w:t>
      </w:r>
      <w:hyperlink r:id="rId10" w:history="1">
        <w:r w:rsidRPr="005B36AE">
          <w:rPr>
            <w:rStyle w:val="Hyperlink"/>
            <w:i/>
            <w:sz w:val="20"/>
            <w:szCs w:val="20"/>
            <w:lang w:val="en-US"/>
          </w:rPr>
          <w:t>https://github.com/yulonglong/Stochastic-POS-Tagger</w:t>
        </w:r>
      </w:hyperlink>
      <w:r w:rsidRPr="005B36AE">
        <w:rPr>
          <w:i/>
          <w:sz w:val="20"/>
          <w:szCs w:val="20"/>
          <w:lang w:val="en-US"/>
        </w:rPr>
        <w:t xml:space="preserve"> </w:t>
      </w:r>
      <w:r w:rsidR="00232F99">
        <w:rPr>
          <w:i/>
          <w:sz w:val="20"/>
          <w:szCs w:val="20"/>
          <w:lang w:val="en-US"/>
        </w:rPr>
        <w:t>for more detail</w:t>
      </w:r>
      <w:r w:rsidR="00960F25">
        <w:rPr>
          <w:i/>
          <w:sz w:val="20"/>
          <w:szCs w:val="20"/>
          <w:lang w:val="en-US"/>
        </w:rPr>
        <w:t>s</w:t>
      </w:r>
    </w:p>
    <w:p w:rsidR="004B3145" w:rsidRDefault="004B3145" w:rsidP="004B3145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Absolute Discount Value (D) analysis (in </w:t>
      </w: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>-Ney Smoothing)</w:t>
      </w:r>
    </w:p>
    <w:p w:rsidR="004B3145" w:rsidRDefault="00F05157" w:rsidP="004B3145">
      <w:pPr>
        <w:rPr>
          <w:lang w:val="en-US"/>
        </w:rPr>
      </w:pPr>
      <w:r>
        <w:rPr>
          <w:lang w:val="en-US"/>
        </w:rPr>
        <w:t>From Table 5</w:t>
      </w:r>
      <w:r w:rsidR="004B3145">
        <w:rPr>
          <w:lang w:val="en-US"/>
        </w:rPr>
        <w:t xml:space="preserve">, it was found that the optimum value for D in this case is </w:t>
      </w:r>
      <w:r w:rsidR="004B3145" w:rsidRPr="000240CD">
        <w:rPr>
          <w:b/>
          <w:lang w:val="en-US"/>
        </w:rPr>
        <w:t>0.085</w:t>
      </w:r>
      <w:r>
        <w:rPr>
          <w:lang w:val="en-US"/>
        </w:rPr>
        <w:t xml:space="preserve"> after running the program with many discount values.</w:t>
      </w:r>
    </w:p>
    <w:tbl>
      <w:tblPr>
        <w:tblW w:w="8105" w:type="dxa"/>
        <w:jc w:val="center"/>
        <w:tblLook w:val="04A0" w:firstRow="1" w:lastRow="0" w:firstColumn="1" w:lastColumn="0" w:noHBand="0" w:noVBand="1"/>
      </w:tblPr>
      <w:tblGrid>
        <w:gridCol w:w="1901"/>
        <w:gridCol w:w="1984"/>
        <w:gridCol w:w="1360"/>
        <w:gridCol w:w="1500"/>
        <w:gridCol w:w="1360"/>
      </w:tblGrid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b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b/>
                <w:szCs w:val="24"/>
                <w:lang w:eastAsia="en-SG"/>
              </w:rPr>
              <w:t>Discount value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b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b/>
                <w:szCs w:val="24"/>
                <w:lang w:eastAsia="en-SG"/>
              </w:rPr>
              <w:t>TP-Rate/Recall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b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b/>
                <w:szCs w:val="24"/>
                <w:lang w:eastAsia="en-SG"/>
              </w:rPr>
              <w:t>FP-Rate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b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b/>
                <w:szCs w:val="24"/>
                <w:lang w:eastAsia="en-SG"/>
              </w:rPr>
              <w:t>Precision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b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b/>
                <w:szCs w:val="24"/>
                <w:lang w:eastAsia="en-SG"/>
              </w:rPr>
              <w:t>F-Measure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0.95735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0.060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0.95731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0.95731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0.95735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0.080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0.95739</w:t>
            </w:r>
          </w:p>
        </w:tc>
      </w:tr>
      <w:tr w:rsidR="004330B1" w:rsidRPr="0008238E" w:rsidTr="004330B1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  <w:noWrap/>
            <w:vAlign w:val="bottom"/>
            <w:hideMark/>
          </w:tcPr>
          <w:p w:rsidR="0008238E" w:rsidRPr="004330B1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4330B1">
              <w:rPr>
                <w:rFonts w:eastAsia="Times New Roman" w:cstheme="minorHAnsi"/>
                <w:szCs w:val="24"/>
                <w:lang w:eastAsia="en-SG"/>
              </w:rPr>
              <w:t>0.085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  <w:noWrap/>
            <w:vAlign w:val="bottom"/>
            <w:hideMark/>
          </w:tcPr>
          <w:p w:rsidR="0008238E" w:rsidRPr="004330B1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4330B1">
              <w:rPr>
                <w:rFonts w:eastAsia="Times New Roman" w:cstheme="minorHAnsi"/>
                <w:szCs w:val="24"/>
                <w:lang w:eastAsia="en-SG"/>
              </w:rPr>
              <w:t>0.95696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  <w:noWrap/>
            <w:vAlign w:val="bottom"/>
            <w:hideMark/>
          </w:tcPr>
          <w:p w:rsidR="0008238E" w:rsidRPr="004330B1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4330B1">
              <w:rPr>
                <w:rFonts w:eastAsia="Times New Roman" w:cstheme="minorHAnsi"/>
                <w:szCs w:val="24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  <w:noWrap/>
            <w:vAlign w:val="bottom"/>
            <w:hideMark/>
          </w:tcPr>
          <w:p w:rsidR="0008238E" w:rsidRPr="004330B1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4330B1">
              <w:rPr>
                <w:rFonts w:eastAsia="Times New Roman" w:cstheme="minorHAnsi"/>
                <w:szCs w:val="24"/>
                <w:lang w:eastAsia="en-SG"/>
              </w:rPr>
              <w:t>0.95872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  <w:noWrap/>
            <w:vAlign w:val="bottom"/>
            <w:hideMark/>
          </w:tcPr>
          <w:p w:rsidR="0008238E" w:rsidRPr="004330B1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4330B1">
              <w:rPr>
                <w:rFonts w:eastAsia="Times New Roman" w:cstheme="minorHAnsi"/>
                <w:szCs w:val="24"/>
                <w:lang w:eastAsia="en-SG"/>
              </w:rPr>
              <w:t>0.95739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0.090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0.95739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0.095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0.95737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0.95733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0.125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0.95727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0.150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0.95732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0.200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0.95721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0.250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0.95826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0.95686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0.300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0.95659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0.350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0.95647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0.400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0.95616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0.450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0.95586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0.500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0.95560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0.550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0.95497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0.95701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0.95547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0.600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0.95442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0.00327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0.95648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0.95493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0.650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0.95373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0.95428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0.700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0.95325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0.00337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0.95546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0.95381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0.750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0.95249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0.00343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0.95479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0.95308</w:t>
            </w:r>
          </w:p>
        </w:tc>
      </w:tr>
      <w:tr w:rsidR="0008238E" w:rsidRPr="0008238E" w:rsidTr="0008238E">
        <w:trPr>
          <w:trHeight w:val="30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0.800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0.0035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0.95422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38E" w:rsidRPr="0008238E" w:rsidRDefault="0008238E" w:rsidP="0008238E">
            <w:pPr>
              <w:pStyle w:val="NoSpacing"/>
              <w:jc w:val="center"/>
              <w:rPr>
                <w:rFonts w:eastAsia="Times New Roman" w:cstheme="minorHAnsi"/>
                <w:szCs w:val="24"/>
                <w:lang w:eastAsia="en-SG"/>
              </w:rPr>
            </w:pPr>
            <w:r w:rsidRPr="0008238E">
              <w:rPr>
                <w:rFonts w:eastAsia="Times New Roman" w:cstheme="minorHAnsi"/>
                <w:szCs w:val="24"/>
                <w:lang w:eastAsia="en-SG"/>
              </w:rPr>
              <w:t>0.95248</w:t>
            </w:r>
          </w:p>
        </w:tc>
      </w:tr>
    </w:tbl>
    <w:p w:rsidR="0008238E" w:rsidRDefault="0008238E" w:rsidP="0008238E">
      <w:pPr>
        <w:spacing w:before="120"/>
        <w:jc w:val="center"/>
        <w:rPr>
          <w:lang w:val="en-US"/>
        </w:rPr>
      </w:pPr>
      <w:r>
        <w:rPr>
          <w:lang w:val="en-US"/>
        </w:rPr>
        <w:t xml:space="preserve">Table 5 – Summary of D against the POS tagger’s performance (using </w:t>
      </w:r>
      <w:proofErr w:type="spellStart"/>
      <w:r w:rsidRPr="0008238E">
        <w:rPr>
          <w:rFonts w:ascii="Consolas" w:hAnsi="Consolas" w:cs="Consolas"/>
          <w:sz w:val="22"/>
          <w:lang w:val="en-US"/>
        </w:rPr>
        <w:t>sents.devt</w:t>
      </w:r>
      <w:proofErr w:type="spellEnd"/>
      <w:r>
        <w:rPr>
          <w:lang w:val="en-US"/>
        </w:rPr>
        <w:t>)</w:t>
      </w:r>
    </w:p>
    <w:p w:rsidR="0008238E" w:rsidRDefault="00CF3149" w:rsidP="00CF3149">
      <w:pPr>
        <w:spacing w:before="120"/>
        <w:jc w:val="center"/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3A43FD14" wp14:editId="7F5B6A28">
            <wp:extent cx="5138057" cy="1915886"/>
            <wp:effectExtent l="0" t="0" r="5715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F3149" w:rsidRDefault="00CF3149" w:rsidP="00CF3149">
      <w:pPr>
        <w:spacing w:before="120"/>
        <w:jc w:val="center"/>
        <w:rPr>
          <w:lang w:val="en-US"/>
        </w:rPr>
      </w:pPr>
      <w:r>
        <w:rPr>
          <w:lang w:val="en-US"/>
        </w:rPr>
        <w:t xml:space="preserve">Graph 2 – </w:t>
      </w:r>
      <w:r w:rsidR="00BC12C7">
        <w:rPr>
          <w:lang w:val="en-US"/>
        </w:rPr>
        <w:t>Accuracy of the POS tagger</w:t>
      </w:r>
      <w:r>
        <w:rPr>
          <w:lang w:val="en-US"/>
        </w:rPr>
        <w:t xml:space="preserve"> against D-value</w:t>
      </w:r>
    </w:p>
    <w:p w:rsidR="0008393E" w:rsidRDefault="0008393E" w:rsidP="0008393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Various Smoothing Analysis</w:t>
      </w:r>
    </w:p>
    <w:p w:rsidR="0008393E" w:rsidRDefault="0008393E" w:rsidP="0008393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Add-one Smoothing</w:t>
      </w:r>
    </w:p>
    <w:p w:rsidR="0008393E" w:rsidRDefault="0008393E" w:rsidP="005B534A">
      <w:pPr>
        <w:jc w:val="both"/>
        <w:rPr>
          <w:lang w:val="en-US"/>
        </w:rPr>
      </w:pPr>
      <w:r>
        <w:rPr>
          <w:lang w:val="en-US"/>
        </w:rPr>
        <w:t>Add-one s</w:t>
      </w:r>
      <w:r w:rsidR="001661E4">
        <w:rPr>
          <w:lang w:val="en-US"/>
        </w:rPr>
        <w:t>moothing was performed with 10-</w:t>
      </w:r>
      <w:r>
        <w:rPr>
          <w:lang w:val="en-US"/>
        </w:rPr>
        <w:t>fold cross-validation</w:t>
      </w:r>
      <w:r w:rsidR="00F05157">
        <w:rPr>
          <w:lang w:val="en-US"/>
        </w:rPr>
        <w:t xml:space="preserve"> as shown in Table 6.</w:t>
      </w:r>
    </w:p>
    <w:tbl>
      <w:tblPr>
        <w:tblW w:w="7921" w:type="dxa"/>
        <w:jc w:val="center"/>
        <w:tblLook w:val="04A0" w:firstRow="1" w:lastRow="0" w:firstColumn="1" w:lastColumn="0" w:noHBand="0" w:noVBand="1"/>
      </w:tblPr>
      <w:tblGrid>
        <w:gridCol w:w="1620"/>
        <w:gridCol w:w="2081"/>
        <w:gridCol w:w="1360"/>
        <w:gridCol w:w="1500"/>
        <w:gridCol w:w="1360"/>
      </w:tblGrid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n-</w:t>
            </w:r>
            <w:proofErr w:type="spellStart"/>
            <w:r w:rsidRPr="0008393E">
              <w:rPr>
                <w:rFonts w:eastAsia="Times New Roman"/>
                <w:b/>
                <w:lang w:eastAsia="en-SG"/>
              </w:rPr>
              <w:t>th</w:t>
            </w:r>
            <w:proofErr w:type="spellEnd"/>
            <w:r w:rsidRPr="0008393E">
              <w:rPr>
                <w:rFonts w:eastAsia="Times New Roman"/>
                <w:b/>
                <w:lang w:eastAsia="en-SG"/>
              </w:rPr>
              <w:t xml:space="preserve"> fold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TP-Rate/Recall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FP-Rate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Precision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F-Measure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0.91043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0.00819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0.90580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0.90445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0.00821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0.90970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0.96617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0.91321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0.00797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0.91037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0.90732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0.91377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0.00790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0.90882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0.90768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0.91018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0.00822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0.90554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0.90399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0.91322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0.00780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0.90916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0.90767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0.91210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0.00802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0.90923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0.90682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0.91092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0.00811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0.90856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0.90546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0.91841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0.00760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0.91470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0.91333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10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0.91051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0.00804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0.90613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0.90422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Average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0.91243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0.00801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0.90880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0.91271</w:t>
            </w:r>
          </w:p>
        </w:tc>
      </w:tr>
    </w:tbl>
    <w:p w:rsidR="0008393E" w:rsidRDefault="0008393E" w:rsidP="0008393E">
      <w:pPr>
        <w:spacing w:before="120"/>
        <w:jc w:val="center"/>
        <w:rPr>
          <w:lang w:val="en-US"/>
        </w:rPr>
      </w:pPr>
      <w:r w:rsidRPr="0008393E">
        <w:rPr>
          <w:lang w:val="en-US"/>
        </w:rPr>
        <w:t xml:space="preserve">Table 6 – Summary </w:t>
      </w:r>
      <w:r w:rsidR="008A0639">
        <w:rPr>
          <w:lang w:val="en-US"/>
        </w:rPr>
        <w:t>of 10-fold</w:t>
      </w:r>
      <w:r w:rsidRPr="0008393E">
        <w:rPr>
          <w:lang w:val="en-US"/>
        </w:rPr>
        <w:t xml:space="preserve"> cross-validation using add-one smoothing</w:t>
      </w:r>
    </w:p>
    <w:p w:rsidR="0008393E" w:rsidRDefault="0008393E" w:rsidP="0008393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Witten-Bell Smoothing</w:t>
      </w:r>
    </w:p>
    <w:p w:rsidR="0008393E" w:rsidRDefault="0008393E" w:rsidP="005B534A">
      <w:pPr>
        <w:jc w:val="both"/>
        <w:rPr>
          <w:lang w:val="en-US"/>
        </w:rPr>
      </w:pPr>
      <w:r>
        <w:rPr>
          <w:lang w:val="en-US"/>
        </w:rPr>
        <w:t>Witten-Bell</w:t>
      </w:r>
      <w:r w:rsidRPr="0008393E">
        <w:rPr>
          <w:lang w:val="en-US"/>
        </w:rPr>
        <w:t xml:space="preserve"> s</w:t>
      </w:r>
      <w:r w:rsidR="001661E4">
        <w:rPr>
          <w:lang w:val="en-US"/>
        </w:rPr>
        <w:t>moothing was performed with 10-</w:t>
      </w:r>
      <w:r w:rsidRPr="0008393E">
        <w:rPr>
          <w:lang w:val="en-US"/>
        </w:rPr>
        <w:t>fold cross-validation</w:t>
      </w:r>
      <w:r w:rsidR="00F05157">
        <w:rPr>
          <w:lang w:val="en-US"/>
        </w:rPr>
        <w:t xml:space="preserve"> as shown in Table 7.</w:t>
      </w:r>
    </w:p>
    <w:tbl>
      <w:tblPr>
        <w:tblW w:w="7869" w:type="dxa"/>
        <w:jc w:val="center"/>
        <w:tblInd w:w="93" w:type="dxa"/>
        <w:tblLook w:val="04A0" w:firstRow="1" w:lastRow="0" w:firstColumn="1" w:lastColumn="0" w:noHBand="0" w:noVBand="1"/>
      </w:tblPr>
      <w:tblGrid>
        <w:gridCol w:w="1620"/>
        <w:gridCol w:w="2029"/>
        <w:gridCol w:w="1360"/>
        <w:gridCol w:w="1500"/>
        <w:gridCol w:w="1360"/>
      </w:tblGrid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n-</w:t>
            </w:r>
            <w:proofErr w:type="spellStart"/>
            <w:r w:rsidRPr="0008393E">
              <w:rPr>
                <w:rFonts w:eastAsia="Times New Roman"/>
                <w:b/>
                <w:lang w:eastAsia="en-SG"/>
              </w:rPr>
              <w:t>th</w:t>
            </w:r>
            <w:proofErr w:type="spellEnd"/>
            <w:r w:rsidRPr="0008393E">
              <w:rPr>
                <w:rFonts w:eastAsia="Times New Roman"/>
                <w:b/>
                <w:lang w:eastAsia="en-SG"/>
              </w:rPr>
              <w:t xml:space="preserve"> fold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TP-Rate/Recall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FP-Rate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Precision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F-Measure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1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0.94756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0.94787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0.00391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0.94986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0.94861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3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0.00361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0.95162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4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0.95116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0.95196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0.95122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5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0.00386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0.94928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0.94856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6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0.95053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0.00363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0.95149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0.95084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7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0.94715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0.94769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8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0.94715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0.00377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0.94938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0.94787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0.95240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0.00349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0.95360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0.95277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10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0.00378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0.94964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08393E">
              <w:rPr>
                <w:rFonts w:eastAsia="Times New Roman"/>
                <w:lang w:eastAsia="en-SG"/>
              </w:rPr>
              <w:t>0.94845</w:t>
            </w:r>
          </w:p>
        </w:tc>
      </w:tr>
      <w:tr w:rsidR="0008393E" w:rsidRPr="0008393E" w:rsidTr="0008393E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caps/>
                <w:lang w:eastAsia="en-SG"/>
              </w:rPr>
              <w:t>A</w:t>
            </w:r>
            <w:r w:rsidRPr="0008393E">
              <w:rPr>
                <w:rFonts w:eastAsia="Times New Roman"/>
                <w:b/>
                <w:lang w:eastAsia="en-SG"/>
              </w:rPr>
              <w:t>verage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0.94920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0.00375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0.95050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3E" w:rsidRPr="0008393E" w:rsidRDefault="0008393E" w:rsidP="0008393E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08393E">
              <w:rPr>
                <w:rFonts w:eastAsia="Times New Roman"/>
                <w:b/>
                <w:lang w:eastAsia="en-SG"/>
              </w:rPr>
              <w:t>0.94955</w:t>
            </w:r>
          </w:p>
        </w:tc>
      </w:tr>
    </w:tbl>
    <w:p w:rsidR="0008393E" w:rsidRDefault="0008393E" w:rsidP="0008393E">
      <w:pPr>
        <w:spacing w:before="120"/>
        <w:jc w:val="center"/>
        <w:rPr>
          <w:lang w:val="en-US"/>
        </w:rPr>
      </w:pPr>
      <w:r w:rsidRPr="0008393E">
        <w:rPr>
          <w:lang w:val="en-US"/>
        </w:rPr>
        <w:t xml:space="preserve">Table </w:t>
      </w:r>
      <w:r>
        <w:rPr>
          <w:lang w:val="en-US"/>
        </w:rPr>
        <w:t>7</w:t>
      </w:r>
      <w:r w:rsidRPr="0008393E">
        <w:rPr>
          <w:lang w:val="en-US"/>
        </w:rPr>
        <w:t xml:space="preserve"> – Summary </w:t>
      </w:r>
      <w:r w:rsidR="008A0639">
        <w:rPr>
          <w:lang w:val="en-US"/>
        </w:rPr>
        <w:t>of 10-fold</w:t>
      </w:r>
      <w:r w:rsidRPr="0008393E">
        <w:rPr>
          <w:lang w:val="en-US"/>
        </w:rPr>
        <w:t xml:space="preserve"> cross-validation </w:t>
      </w:r>
      <w:r>
        <w:rPr>
          <w:lang w:val="en-US"/>
        </w:rPr>
        <w:t>using Witten-Bell smoothing</w:t>
      </w:r>
    </w:p>
    <w:p w:rsidR="0008393E" w:rsidRPr="0008393E" w:rsidRDefault="0008393E" w:rsidP="0008393E">
      <w:pPr>
        <w:rPr>
          <w:lang w:val="en-US"/>
        </w:rPr>
      </w:pPr>
    </w:p>
    <w:p w:rsidR="0008393E" w:rsidRDefault="0008393E" w:rsidP="0008393E">
      <w:pPr>
        <w:pStyle w:val="Heading2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>-Ney Smoothing</w:t>
      </w:r>
    </w:p>
    <w:p w:rsidR="0008393E" w:rsidRDefault="0008393E" w:rsidP="005B534A">
      <w:pPr>
        <w:jc w:val="both"/>
        <w:rPr>
          <w:lang w:val="en-US"/>
        </w:rPr>
      </w:pP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>-Ney</w:t>
      </w:r>
      <w:r w:rsidRPr="0008393E">
        <w:rPr>
          <w:lang w:val="en-US"/>
        </w:rPr>
        <w:t xml:space="preserve"> s</w:t>
      </w:r>
      <w:r w:rsidR="001661E4">
        <w:rPr>
          <w:lang w:val="en-US"/>
        </w:rPr>
        <w:t>moothing was performed with 10-</w:t>
      </w:r>
      <w:r w:rsidRPr="0008393E">
        <w:rPr>
          <w:lang w:val="en-US"/>
        </w:rPr>
        <w:t xml:space="preserve">fold cross-validation. </w:t>
      </w:r>
      <w:r w:rsidR="005B534A">
        <w:rPr>
          <w:lang w:val="en-US"/>
        </w:rPr>
        <w:t xml:space="preserve">The absolute discount value </w:t>
      </w:r>
      <w:r w:rsidR="006E7D45">
        <w:rPr>
          <w:lang w:val="en-US"/>
        </w:rPr>
        <w:t>was</w:t>
      </w:r>
      <w:r w:rsidR="005B534A">
        <w:rPr>
          <w:lang w:val="en-US"/>
        </w:rPr>
        <w:t xml:space="preserve"> set to its optimum, 0.085</w:t>
      </w:r>
      <w:r w:rsidR="00F05157">
        <w:rPr>
          <w:lang w:val="en-US"/>
        </w:rPr>
        <w:t>, as shown in Table 8.</w:t>
      </w:r>
    </w:p>
    <w:tbl>
      <w:tblPr>
        <w:tblW w:w="7869" w:type="dxa"/>
        <w:jc w:val="center"/>
        <w:tblInd w:w="93" w:type="dxa"/>
        <w:tblLook w:val="04A0" w:firstRow="1" w:lastRow="0" w:firstColumn="1" w:lastColumn="0" w:noHBand="0" w:noVBand="1"/>
      </w:tblPr>
      <w:tblGrid>
        <w:gridCol w:w="1620"/>
        <w:gridCol w:w="2029"/>
        <w:gridCol w:w="1360"/>
        <w:gridCol w:w="1500"/>
        <w:gridCol w:w="1360"/>
      </w:tblGrid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n-</w:t>
            </w:r>
            <w:proofErr w:type="spellStart"/>
            <w:r w:rsidRPr="005B534A">
              <w:rPr>
                <w:rFonts w:eastAsia="Times New Roman"/>
                <w:b/>
                <w:lang w:eastAsia="en-SG"/>
              </w:rPr>
              <w:t>th</w:t>
            </w:r>
            <w:proofErr w:type="spellEnd"/>
            <w:r w:rsidRPr="005B534A">
              <w:rPr>
                <w:rFonts w:eastAsia="Times New Roman"/>
                <w:b/>
                <w:lang w:eastAsia="en-SG"/>
              </w:rPr>
              <w:t xml:space="preserve"> fold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TP-Rate/Recall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FP-Rate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Precision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F-Measure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0.00366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0.94981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0.00361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0.95103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3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0.95402</w:t>
            </w:r>
          </w:p>
        </w:tc>
      </w:tr>
      <w:tr w:rsidR="005B534A" w:rsidRPr="005B534A" w:rsidTr="00B34B94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4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0.95327</w:t>
            </w:r>
          </w:p>
        </w:tc>
      </w:tr>
      <w:tr w:rsidR="005B534A" w:rsidRPr="005B534A" w:rsidTr="00B34B94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lastRenderedPageBreak/>
              <w:t>5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0.95175</w:t>
            </w:r>
          </w:p>
        </w:tc>
      </w:tr>
      <w:tr w:rsidR="005B534A" w:rsidRPr="005B534A" w:rsidTr="00B34B94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6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0.95272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0.00332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0.95382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0.95315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7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0.94987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8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0.95136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9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0.95571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0.95495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10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0.95047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Average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0.95158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0.00346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0.95281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0.95197</w:t>
            </w:r>
          </w:p>
        </w:tc>
      </w:tr>
    </w:tbl>
    <w:p w:rsidR="005B534A" w:rsidRDefault="005B534A" w:rsidP="005B534A">
      <w:pPr>
        <w:spacing w:before="120"/>
        <w:jc w:val="center"/>
        <w:rPr>
          <w:lang w:val="en-US"/>
        </w:rPr>
      </w:pPr>
      <w:r w:rsidRPr="0008393E">
        <w:rPr>
          <w:lang w:val="en-US"/>
        </w:rPr>
        <w:t xml:space="preserve">Table </w:t>
      </w:r>
      <w:r>
        <w:rPr>
          <w:lang w:val="en-US"/>
        </w:rPr>
        <w:t>8</w:t>
      </w:r>
      <w:r w:rsidRPr="0008393E">
        <w:rPr>
          <w:lang w:val="en-US"/>
        </w:rPr>
        <w:t xml:space="preserve"> – Summary </w:t>
      </w:r>
      <w:r w:rsidR="008A0639">
        <w:rPr>
          <w:lang w:val="en-US"/>
        </w:rPr>
        <w:t>of 10-fold</w:t>
      </w:r>
      <w:r w:rsidRPr="0008393E">
        <w:rPr>
          <w:lang w:val="en-US"/>
        </w:rPr>
        <w:t xml:space="preserve"> cross-validation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>-Ney smoothing (D = 0.085)</w:t>
      </w:r>
    </w:p>
    <w:p w:rsidR="005B534A" w:rsidRDefault="005B534A" w:rsidP="005B534A">
      <w:pPr>
        <w:pStyle w:val="Heading2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>-Ney Smoothing with Interpolation</w:t>
      </w:r>
    </w:p>
    <w:p w:rsidR="005B534A" w:rsidRPr="005B534A" w:rsidRDefault="005B534A" w:rsidP="005B534A">
      <w:pPr>
        <w:jc w:val="both"/>
        <w:rPr>
          <w:lang w:val="en-US"/>
        </w:rPr>
      </w:pPr>
      <w:proofErr w:type="spellStart"/>
      <w:r w:rsidRPr="005B534A">
        <w:rPr>
          <w:lang w:val="en-US"/>
        </w:rPr>
        <w:t>Kneser</w:t>
      </w:r>
      <w:proofErr w:type="spellEnd"/>
      <w:r w:rsidRPr="005B534A">
        <w:rPr>
          <w:lang w:val="en-US"/>
        </w:rPr>
        <w:t xml:space="preserve">-Ney smoothing </w:t>
      </w:r>
      <w:r>
        <w:rPr>
          <w:lang w:val="en-US"/>
        </w:rPr>
        <w:t xml:space="preserve">with interpolation </w:t>
      </w:r>
      <w:r w:rsidR="001661E4">
        <w:rPr>
          <w:lang w:val="en-US"/>
        </w:rPr>
        <w:t>was performed with 10-</w:t>
      </w:r>
      <w:r w:rsidRPr="005B534A">
        <w:rPr>
          <w:lang w:val="en-US"/>
        </w:rPr>
        <w:t xml:space="preserve">fold cross-validation. The absolute discount value </w:t>
      </w:r>
      <w:r w:rsidR="006E7D45">
        <w:rPr>
          <w:lang w:val="en-US"/>
        </w:rPr>
        <w:t>was</w:t>
      </w:r>
      <w:r w:rsidRPr="005B534A">
        <w:rPr>
          <w:lang w:val="en-US"/>
        </w:rPr>
        <w:t xml:space="preserve"> set to </w:t>
      </w:r>
      <w:r>
        <w:rPr>
          <w:lang w:val="en-US"/>
        </w:rPr>
        <w:t>the same value</w:t>
      </w:r>
      <w:r w:rsidRPr="005B534A">
        <w:rPr>
          <w:lang w:val="en-US"/>
        </w:rPr>
        <w:t xml:space="preserve">, 0.085. The results are summarized in </w:t>
      </w:r>
      <w:r w:rsidR="00AD502E">
        <w:rPr>
          <w:lang w:val="en-US"/>
        </w:rPr>
        <w:t>Table 9.</w:t>
      </w:r>
    </w:p>
    <w:tbl>
      <w:tblPr>
        <w:tblW w:w="10198" w:type="dxa"/>
        <w:jc w:val="center"/>
        <w:tblInd w:w="93" w:type="dxa"/>
        <w:tblLook w:val="04A0" w:firstRow="1" w:lastRow="0" w:firstColumn="1" w:lastColumn="0" w:noHBand="0" w:noVBand="1"/>
      </w:tblPr>
      <w:tblGrid>
        <w:gridCol w:w="1620"/>
        <w:gridCol w:w="2018"/>
        <w:gridCol w:w="1360"/>
        <w:gridCol w:w="1500"/>
        <w:gridCol w:w="1360"/>
        <w:gridCol w:w="1180"/>
        <w:gridCol w:w="1160"/>
      </w:tblGrid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n-</w:t>
            </w:r>
            <w:proofErr w:type="spellStart"/>
            <w:r w:rsidRPr="005B534A">
              <w:rPr>
                <w:rFonts w:eastAsia="Times New Roman"/>
                <w:b/>
                <w:lang w:eastAsia="en-SG"/>
              </w:rPr>
              <w:t>th</w:t>
            </w:r>
            <w:proofErr w:type="spellEnd"/>
            <w:r w:rsidRPr="005B534A">
              <w:rPr>
                <w:rFonts w:eastAsia="Times New Roman"/>
                <w:b/>
                <w:lang w:eastAsia="en-SG"/>
              </w:rPr>
              <w:t xml:space="preserve"> fold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TP-Rate/Recall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FP-Rate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Precision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F-Measure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lang w:val="el-GR"/>
              </w:rPr>
              <w:t>λ</w:t>
            </w: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vertAlign w:val="subscript"/>
                <w:lang w:val="en-US"/>
              </w:rPr>
              <w:t>1</w:t>
            </w: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lang w:val="el-GR"/>
              </w:rPr>
              <w:t>λ</w:t>
            </w: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vertAlign w:val="subscript"/>
                <w:lang w:val="en-US"/>
              </w:rPr>
              <w:t>2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0.00366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0.00361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6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0.00332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0.95315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0.94987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9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0.95571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0.95495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10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0.00351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0.95145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0.95056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5B534A">
              <w:rPr>
                <w:rFonts w:eastAsia="Times New Roman"/>
                <w:lang w:eastAsia="en-SG"/>
              </w:rPr>
              <w:t>0.02</w:t>
            </w:r>
          </w:p>
        </w:tc>
      </w:tr>
      <w:tr w:rsidR="005B534A" w:rsidRPr="005B534A" w:rsidTr="005B534A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Average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0.95159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0.00346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0.95282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eastAsia="Times New Roman"/>
                <w:b/>
                <w:lang w:eastAsia="en-SG"/>
              </w:rPr>
              <w:t>0.95198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4A" w:rsidRPr="005B534A" w:rsidRDefault="005B534A" w:rsidP="005B534A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</w:p>
        </w:tc>
      </w:tr>
    </w:tbl>
    <w:p w:rsidR="008A0639" w:rsidRDefault="008A0639" w:rsidP="008A0639">
      <w:pPr>
        <w:spacing w:before="120"/>
        <w:jc w:val="center"/>
        <w:rPr>
          <w:lang w:val="en-US"/>
        </w:rPr>
      </w:pPr>
      <w:r w:rsidRPr="0008393E">
        <w:rPr>
          <w:lang w:val="en-US"/>
        </w:rPr>
        <w:t xml:space="preserve">Table </w:t>
      </w:r>
      <w:r>
        <w:rPr>
          <w:lang w:val="en-US"/>
        </w:rPr>
        <w:t>9</w:t>
      </w:r>
      <w:r w:rsidRPr="0008393E">
        <w:rPr>
          <w:lang w:val="en-US"/>
        </w:rPr>
        <w:t xml:space="preserve"> – Summary </w:t>
      </w:r>
      <w:r>
        <w:rPr>
          <w:lang w:val="en-US"/>
        </w:rPr>
        <w:t>of 10-fold</w:t>
      </w:r>
      <w:r w:rsidRPr="0008393E">
        <w:rPr>
          <w:lang w:val="en-US"/>
        </w:rPr>
        <w:t xml:space="preserve"> cross-validation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>-Ney smoothing (D = 0.085) with interpolation</w:t>
      </w:r>
    </w:p>
    <w:p w:rsidR="005B534A" w:rsidRDefault="00F304F0" w:rsidP="00F304F0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Conclusion</w:t>
      </w:r>
    </w:p>
    <w:p w:rsidR="00F304F0" w:rsidRPr="00F304F0" w:rsidRDefault="00F304F0" w:rsidP="00B86109">
      <w:pPr>
        <w:jc w:val="both"/>
        <w:rPr>
          <w:lang w:val="en-US"/>
        </w:rPr>
      </w:pPr>
      <w:r>
        <w:rPr>
          <w:lang w:val="en-US"/>
        </w:rPr>
        <w:t xml:space="preserve">After analyzing the three smoothing methods with 10-fold cross validation, </w:t>
      </w: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>-Ney smoothing yield</w:t>
      </w:r>
      <w:r w:rsidR="00AE7A9D">
        <w:rPr>
          <w:lang w:val="en-US"/>
        </w:rPr>
        <w:t>ed</w:t>
      </w:r>
      <w:r>
        <w:rPr>
          <w:lang w:val="en-US"/>
        </w:rPr>
        <w:t xml:space="preserve"> the best result compared to Witten-Bell and add-one smoothing (</w:t>
      </w:r>
      <w:r w:rsidRPr="006F11DC">
        <w:rPr>
          <w:b/>
          <w:lang w:val="en-US"/>
        </w:rPr>
        <w:t>95</w:t>
      </w:r>
      <w:r w:rsidR="006F11DC">
        <w:rPr>
          <w:b/>
          <w:lang w:val="en-US"/>
        </w:rPr>
        <w:t>.</w:t>
      </w:r>
      <w:r w:rsidRPr="006F11DC">
        <w:rPr>
          <w:b/>
          <w:lang w:val="en-US"/>
        </w:rPr>
        <w:t>158</w:t>
      </w:r>
      <w:r w:rsidR="006F11DC">
        <w:rPr>
          <w:b/>
          <w:lang w:val="en-US"/>
        </w:rPr>
        <w:t>%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r w:rsidRPr="006F11DC">
        <w:rPr>
          <w:b/>
          <w:lang w:val="en-US"/>
        </w:rPr>
        <w:t>94</w:t>
      </w:r>
      <w:r w:rsidR="006F11DC">
        <w:rPr>
          <w:b/>
          <w:lang w:val="en-US"/>
        </w:rPr>
        <w:t>.</w:t>
      </w:r>
      <w:r w:rsidRPr="006F11DC">
        <w:rPr>
          <w:b/>
          <w:lang w:val="en-US"/>
        </w:rPr>
        <w:t>920</w:t>
      </w:r>
      <w:r w:rsidR="006F11DC">
        <w:rPr>
          <w:b/>
          <w:lang w:val="en-US"/>
        </w:rPr>
        <w:t>%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r w:rsidRPr="006F11DC">
        <w:rPr>
          <w:b/>
          <w:lang w:val="en-US"/>
        </w:rPr>
        <w:t>91</w:t>
      </w:r>
      <w:r w:rsidR="006F11DC">
        <w:rPr>
          <w:b/>
          <w:lang w:val="en-US"/>
        </w:rPr>
        <w:t>.</w:t>
      </w:r>
      <w:r w:rsidRPr="006F11DC">
        <w:rPr>
          <w:b/>
          <w:lang w:val="en-US"/>
        </w:rPr>
        <w:t>243</w:t>
      </w:r>
      <w:r w:rsidR="006F11DC">
        <w:rPr>
          <w:b/>
          <w:lang w:val="en-US"/>
        </w:rPr>
        <w:t>%</w:t>
      </w:r>
      <w:r>
        <w:rPr>
          <w:lang w:val="en-US"/>
        </w:rPr>
        <w:t xml:space="preserve"> respectively). However, Witten-Bell smoothing’s performance was comparable and scored quite close to </w:t>
      </w:r>
      <w:proofErr w:type="spellStart"/>
      <w:r>
        <w:rPr>
          <w:lang w:val="en-US"/>
        </w:rPr>
        <w:t>Kneser</w:t>
      </w:r>
      <w:proofErr w:type="spellEnd"/>
      <w:r>
        <w:rPr>
          <w:lang w:val="en-US"/>
        </w:rPr>
        <w:t xml:space="preserve">-Ney smoothing. Interpolation also helped to improve </w:t>
      </w:r>
      <w:r w:rsidR="006F11DC">
        <w:rPr>
          <w:lang w:val="en-US"/>
        </w:rPr>
        <w:t>the POS tagger’s performance by</w:t>
      </w:r>
      <w:r>
        <w:rPr>
          <w:lang w:val="en-US"/>
        </w:rPr>
        <w:t xml:space="preserve"> one-step further despite of the </w:t>
      </w:r>
      <w:r w:rsidR="006F11DC">
        <w:rPr>
          <w:lang w:val="en-US"/>
        </w:rPr>
        <w:t>small</w:t>
      </w:r>
      <w:r>
        <w:rPr>
          <w:lang w:val="en-US"/>
        </w:rPr>
        <w:t xml:space="preserve"> magnitude.</w:t>
      </w:r>
    </w:p>
    <w:p w:rsidR="0008393E" w:rsidRDefault="006F11DC" w:rsidP="00B86109">
      <w:pPr>
        <w:jc w:val="both"/>
        <w:rPr>
          <w:lang w:val="en-US"/>
        </w:rPr>
      </w:pPr>
      <w:r>
        <w:rPr>
          <w:lang w:val="en-US"/>
        </w:rPr>
        <w:t>The POS tagger was run against the development file with all the smoothing methods mentioned above</w:t>
      </w:r>
      <w:r w:rsidR="00A750A5">
        <w:rPr>
          <w:lang w:val="en-US"/>
        </w:rPr>
        <w:t xml:space="preserve"> and the results are summarized in Table 10.</w:t>
      </w:r>
    </w:p>
    <w:tbl>
      <w:tblPr>
        <w:tblW w:w="10119" w:type="dxa"/>
        <w:jc w:val="center"/>
        <w:tblInd w:w="93" w:type="dxa"/>
        <w:tblLook w:val="04A0" w:firstRow="1" w:lastRow="0" w:firstColumn="1" w:lastColumn="0" w:noHBand="0" w:noVBand="1"/>
      </w:tblPr>
      <w:tblGrid>
        <w:gridCol w:w="1620"/>
        <w:gridCol w:w="1939"/>
        <w:gridCol w:w="1360"/>
        <w:gridCol w:w="1500"/>
        <w:gridCol w:w="1360"/>
        <w:gridCol w:w="1180"/>
        <w:gridCol w:w="1160"/>
      </w:tblGrid>
      <w:tr w:rsidR="006F11DC" w:rsidRPr="006F11DC" w:rsidTr="006F11DC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6F11DC">
              <w:rPr>
                <w:rFonts w:eastAsia="Times New Roman"/>
                <w:b/>
                <w:lang w:eastAsia="en-SG"/>
              </w:rPr>
              <w:t>Smoothing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6F11DC">
              <w:rPr>
                <w:rFonts w:eastAsia="Times New Roman"/>
                <w:b/>
                <w:lang w:eastAsia="en-SG"/>
              </w:rPr>
              <w:t>TP-Rate/Recall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6F11DC">
              <w:rPr>
                <w:rFonts w:eastAsia="Times New Roman"/>
                <w:b/>
                <w:lang w:eastAsia="en-SG"/>
              </w:rPr>
              <w:t>FP-Rate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6F11DC">
              <w:rPr>
                <w:rFonts w:eastAsia="Times New Roman"/>
                <w:b/>
                <w:lang w:eastAsia="en-SG"/>
              </w:rPr>
              <w:t>Precision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6F11DC">
              <w:rPr>
                <w:rFonts w:eastAsia="Times New Roman"/>
                <w:b/>
                <w:lang w:eastAsia="en-SG"/>
              </w:rPr>
              <w:t>F-Measure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5B534A" w:rsidRDefault="006F11DC" w:rsidP="00DD4E26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lang w:val="el-GR"/>
              </w:rPr>
              <w:t>λ</w:t>
            </w: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vertAlign w:val="subscript"/>
                <w:lang w:val="en-US"/>
              </w:rPr>
              <w:t>1</w:t>
            </w: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5B534A" w:rsidRDefault="006F11DC" w:rsidP="00DD4E26">
            <w:pPr>
              <w:pStyle w:val="NoSpacing"/>
              <w:jc w:val="center"/>
              <w:rPr>
                <w:rFonts w:eastAsia="Times New Roman"/>
                <w:b/>
                <w:lang w:eastAsia="en-SG"/>
              </w:rPr>
            </w:pP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lang w:val="el-GR"/>
              </w:rPr>
              <w:t>λ</w:t>
            </w:r>
            <w:r w:rsidRPr="005B534A">
              <w:rPr>
                <w:rFonts w:asciiTheme="majorHAnsi" w:hAnsiTheme="majorHAnsi" w:cstheme="majorHAnsi"/>
                <w:b/>
                <w:bCs/>
                <w:color w:val="252525"/>
                <w:szCs w:val="24"/>
                <w:shd w:val="clear" w:color="auto" w:fill="FFFFFF"/>
                <w:vertAlign w:val="subscript"/>
                <w:lang w:val="en-US"/>
              </w:rPr>
              <w:t>2</w:t>
            </w:r>
          </w:p>
        </w:tc>
      </w:tr>
      <w:tr w:rsidR="006F11DC" w:rsidRPr="006F11DC" w:rsidTr="006F11DC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Add-one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0.91846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0.00727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0.91507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0.91356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N.A.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N.A.</w:t>
            </w:r>
          </w:p>
        </w:tc>
      </w:tr>
      <w:tr w:rsidR="006F11DC" w:rsidRPr="006F11DC" w:rsidTr="006F11DC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Witten-Bell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0.95446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0.00333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0.95645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0.95493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N.A.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N.A.</w:t>
            </w:r>
          </w:p>
        </w:tc>
      </w:tr>
      <w:tr w:rsidR="006F11DC" w:rsidRPr="006F11DC" w:rsidTr="006F11DC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proofErr w:type="spellStart"/>
            <w:r w:rsidRPr="006F11DC">
              <w:rPr>
                <w:rFonts w:eastAsia="Times New Roman"/>
                <w:lang w:eastAsia="en-SG"/>
              </w:rPr>
              <w:t>Kneser</w:t>
            </w:r>
            <w:proofErr w:type="spellEnd"/>
            <w:r w:rsidRPr="006F11DC">
              <w:rPr>
                <w:rFonts w:eastAsia="Times New Roman"/>
                <w:lang w:eastAsia="en-SG"/>
              </w:rPr>
              <w:t>-Ney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0.95696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0.00306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0.95872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0.95739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N.A.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N.A.</w:t>
            </w:r>
          </w:p>
        </w:tc>
      </w:tr>
      <w:tr w:rsidR="006F11DC" w:rsidRPr="006F11DC" w:rsidTr="006F11DC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proofErr w:type="spellStart"/>
            <w:r w:rsidRPr="006F11DC">
              <w:rPr>
                <w:rFonts w:eastAsia="Times New Roman"/>
                <w:lang w:eastAsia="en-SG"/>
              </w:rPr>
              <w:t>Kneser</w:t>
            </w:r>
            <w:proofErr w:type="spellEnd"/>
            <w:r w:rsidRPr="006F11DC">
              <w:rPr>
                <w:rFonts w:eastAsia="Times New Roman"/>
                <w:lang w:eastAsia="en-SG"/>
              </w:rPr>
              <w:t>-Ney</w:t>
            </w:r>
            <w:r>
              <w:rPr>
                <w:rFonts w:eastAsia="Times New Roman"/>
                <w:lang w:eastAsia="en-SG"/>
              </w:rPr>
              <w:t xml:space="preserve"> +</w:t>
            </w:r>
            <w:r w:rsidRPr="006F11DC">
              <w:rPr>
                <w:rFonts w:eastAsia="Times New Roman"/>
                <w:lang w:eastAsia="en-SG"/>
              </w:rPr>
              <w:t xml:space="preserve"> interpolation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0.95698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0.00307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0.95871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0.95740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1DC" w:rsidRPr="006F11DC" w:rsidRDefault="006F11DC" w:rsidP="006F11DC">
            <w:pPr>
              <w:pStyle w:val="NoSpacing"/>
              <w:jc w:val="center"/>
              <w:rPr>
                <w:rFonts w:eastAsia="Times New Roman"/>
                <w:lang w:eastAsia="en-SG"/>
              </w:rPr>
            </w:pPr>
            <w:r w:rsidRPr="006F11DC">
              <w:rPr>
                <w:rFonts w:eastAsia="Times New Roman"/>
                <w:lang w:eastAsia="en-SG"/>
              </w:rPr>
              <w:t>0.01</w:t>
            </w:r>
          </w:p>
        </w:tc>
      </w:tr>
    </w:tbl>
    <w:p w:rsidR="006F11DC" w:rsidRPr="0008393E" w:rsidRDefault="006F11DC" w:rsidP="006F11DC">
      <w:pPr>
        <w:spacing w:before="120"/>
        <w:jc w:val="center"/>
        <w:rPr>
          <w:lang w:val="en-US"/>
        </w:rPr>
      </w:pPr>
      <w:r w:rsidRPr="0008393E">
        <w:rPr>
          <w:lang w:val="en-US"/>
        </w:rPr>
        <w:t xml:space="preserve">Table </w:t>
      </w:r>
      <w:r>
        <w:rPr>
          <w:lang w:val="en-US"/>
        </w:rPr>
        <w:t>10</w:t>
      </w:r>
      <w:r w:rsidRPr="0008393E">
        <w:rPr>
          <w:lang w:val="en-US"/>
        </w:rPr>
        <w:t xml:space="preserve"> – </w:t>
      </w:r>
      <w:r>
        <w:rPr>
          <w:lang w:val="en-US"/>
        </w:rPr>
        <w:t>Performance comparison on the development file (</w:t>
      </w:r>
      <w:proofErr w:type="spellStart"/>
      <w:r w:rsidRPr="006F11DC">
        <w:rPr>
          <w:rFonts w:ascii="Consolas" w:hAnsi="Consolas" w:cs="Consolas"/>
          <w:sz w:val="22"/>
          <w:lang w:val="en-US"/>
        </w:rPr>
        <w:t>sents.devt</w:t>
      </w:r>
      <w:proofErr w:type="spellEnd"/>
      <w:r>
        <w:rPr>
          <w:lang w:val="en-US"/>
        </w:rPr>
        <w:t>)</w:t>
      </w:r>
    </w:p>
    <w:sectPr w:rsidR="006F11DC" w:rsidRPr="0008393E" w:rsidSect="00E828E1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151" w:rsidRDefault="00290151" w:rsidP="00523142">
      <w:pPr>
        <w:spacing w:after="0" w:line="240" w:lineRule="auto"/>
      </w:pPr>
      <w:r>
        <w:separator/>
      </w:r>
    </w:p>
  </w:endnote>
  <w:endnote w:type="continuationSeparator" w:id="0">
    <w:p w:rsidR="00290151" w:rsidRDefault="00290151" w:rsidP="005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37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145" w:rsidRDefault="004B31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2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151" w:rsidRDefault="00290151" w:rsidP="00523142">
      <w:pPr>
        <w:spacing w:after="0" w:line="240" w:lineRule="auto"/>
      </w:pPr>
      <w:r>
        <w:separator/>
      </w:r>
    </w:p>
  </w:footnote>
  <w:footnote w:type="continuationSeparator" w:id="0">
    <w:p w:rsidR="00290151" w:rsidRDefault="00290151" w:rsidP="00523142">
      <w:pPr>
        <w:spacing w:after="0" w:line="240" w:lineRule="auto"/>
      </w:pPr>
      <w:r>
        <w:continuationSeparator/>
      </w:r>
    </w:p>
  </w:footnote>
  <w:footnote w:id="1">
    <w:p w:rsidR="004B3145" w:rsidRPr="001647AE" w:rsidRDefault="004B3145" w:rsidP="002A1C1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HMM = </w:t>
      </w:r>
      <w:r>
        <w:rPr>
          <w:lang w:val="en-US"/>
        </w:rPr>
        <w:t>Hidden Markov Model</w:t>
      </w:r>
    </w:p>
  </w:footnote>
  <w:footnote w:id="2">
    <w:p w:rsidR="004B3145" w:rsidRPr="001647AE" w:rsidRDefault="004B3145" w:rsidP="00210F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 = number of </w:t>
      </w:r>
      <w:proofErr w:type="gramStart"/>
      <w:r>
        <w:rPr>
          <w:lang w:val="en-US"/>
        </w:rPr>
        <w:t>words ;</w:t>
      </w:r>
      <w:proofErr w:type="gramEnd"/>
      <w:r>
        <w:rPr>
          <w:lang w:val="en-US"/>
        </w:rPr>
        <w:t xml:space="preserve"> N = number of POS tags.</w:t>
      </w:r>
    </w:p>
  </w:footnote>
  <w:footnote w:id="3">
    <w:p w:rsidR="004B3145" w:rsidRPr="00077D6E" w:rsidRDefault="004B314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Detailed analysis of the 3 smoothing method implemented is attached in the appendix section, </w:t>
      </w:r>
      <w:r w:rsidR="00112F73">
        <w:rPr>
          <w:lang w:val="en-US"/>
        </w:rPr>
        <w:t>on</w:t>
      </w:r>
      <w:r>
        <w:rPr>
          <w:lang w:val="en-US"/>
        </w:rPr>
        <w:t xml:space="preserve"> </w:t>
      </w:r>
      <w:r w:rsidR="00112F73">
        <w:rPr>
          <w:lang w:val="en-US"/>
        </w:rPr>
        <w:t>page 6 and 7</w:t>
      </w:r>
    </w:p>
  </w:footnote>
  <w:footnote w:id="4">
    <w:p w:rsidR="00F426BE" w:rsidRPr="00F426BE" w:rsidRDefault="00F426B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Detailed analysis of the absolute discount value (D) is attached in the appendix secti</w:t>
      </w:r>
      <w:r w:rsidR="00112F73">
        <w:rPr>
          <w:lang w:val="en-US"/>
        </w:rPr>
        <w:t>on, on page 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145" w:rsidRPr="00BC6DA5" w:rsidRDefault="004B3145" w:rsidP="00BC6DA5">
    <w:pPr>
      <w:pStyle w:val="Header"/>
      <w:jc w:val="center"/>
      <w:rPr>
        <w:rFonts w:ascii="Adobe Gothic Std B" w:eastAsia="Adobe Gothic Std B" w:hAnsi="Adobe Gothic Std B"/>
        <w:sz w:val="22"/>
      </w:rPr>
    </w:pPr>
    <w:r w:rsidRPr="00BC6DA5">
      <w:rPr>
        <w:rFonts w:ascii="Adobe Gothic Std B" w:eastAsia="Adobe Gothic Std B" w:hAnsi="Adobe Gothic Std B"/>
        <w:sz w:val="22"/>
      </w:rPr>
      <w:t xml:space="preserve">Steven Kester </w:t>
    </w:r>
    <w:r w:rsidR="00EA06C9">
      <w:rPr>
        <w:rFonts w:ascii="Adobe Gothic Std B" w:eastAsia="Adobe Gothic Std B" w:hAnsi="Adobe Gothic Std B"/>
        <w:sz w:val="22"/>
      </w:rPr>
      <w:t>Yuwono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79A6"/>
    <w:multiLevelType w:val="multilevel"/>
    <w:tmpl w:val="3056D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0D7D83"/>
    <w:multiLevelType w:val="hybridMultilevel"/>
    <w:tmpl w:val="582039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B4766"/>
    <w:multiLevelType w:val="multilevel"/>
    <w:tmpl w:val="44669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42"/>
    <w:rsid w:val="00004EAE"/>
    <w:rsid w:val="0000788A"/>
    <w:rsid w:val="000240CD"/>
    <w:rsid w:val="0002450A"/>
    <w:rsid w:val="00041936"/>
    <w:rsid w:val="00044A77"/>
    <w:rsid w:val="00077622"/>
    <w:rsid w:val="00077D6E"/>
    <w:rsid w:val="0008238E"/>
    <w:rsid w:val="0008393E"/>
    <w:rsid w:val="00091CBA"/>
    <w:rsid w:val="000B3360"/>
    <w:rsid w:val="000C36E2"/>
    <w:rsid w:val="000C56C0"/>
    <w:rsid w:val="00112F73"/>
    <w:rsid w:val="00115E97"/>
    <w:rsid w:val="001647AE"/>
    <w:rsid w:val="001661E4"/>
    <w:rsid w:val="001D5DE6"/>
    <w:rsid w:val="001E63BB"/>
    <w:rsid w:val="001F1F15"/>
    <w:rsid w:val="001F5D4E"/>
    <w:rsid w:val="00210F44"/>
    <w:rsid w:val="00213329"/>
    <w:rsid w:val="0022468E"/>
    <w:rsid w:val="002254CD"/>
    <w:rsid w:val="00227B66"/>
    <w:rsid w:val="00232F99"/>
    <w:rsid w:val="00244E56"/>
    <w:rsid w:val="00245DC5"/>
    <w:rsid w:val="00255679"/>
    <w:rsid w:val="0026733C"/>
    <w:rsid w:val="002740CB"/>
    <w:rsid w:val="00275ACC"/>
    <w:rsid w:val="00290151"/>
    <w:rsid w:val="002920B9"/>
    <w:rsid w:val="002959D3"/>
    <w:rsid w:val="002A1C1F"/>
    <w:rsid w:val="002A48C6"/>
    <w:rsid w:val="002A5C63"/>
    <w:rsid w:val="002E5374"/>
    <w:rsid w:val="00322360"/>
    <w:rsid w:val="003362E7"/>
    <w:rsid w:val="00352961"/>
    <w:rsid w:val="00357289"/>
    <w:rsid w:val="00387F5D"/>
    <w:rsid w:val="003A39A6"/>
    <w:rsid w:val="003A4B28"/>
    <w:rsid w:val="003B6C3F"/>
    <w:rsid w:val="003F1661"/>
    <w:rsid w:val="00407C14"/>
    <w:rsid w:val="004330B1"/>
    <w:rsid w:val="004442A1"/>
    <w:rsid w:val="00444B3B"/>
    <w:rsid w:val="00450DA3"/>
    <w:rsid w:val="004578D3"/>
    <w:rsid w:val="00471279"/>
    <w:rsid w:val="00477A6D"/>
    <w:rsid w:val="00477CF5"/>
    <w:rsid w:val="00482E00"/>
    <w:rsid w:val="00496419"/>
    <w:rsid w:val="004A6E5E"/>
    <w:rsid w:val="004B3145"/>
    <w:rsid w:val="004B6D3B"/>
    <w:rsid w:val="00523142"/>
    <w:rsid w:val="0053638B"/>
    <w:rsid w:val="00540EA7"/>
    <w:rsid w:val="00547BD8"/>
    <w:rsid w:val="00570B53"/>
    <w:rsid w:val="00595F56"/>
    <w:rsid w:val="005A373E"/>
    <w:rsid w:val="005B36AE"/>
    <w:rsid w:val="005B534A"/>
    <w:rsid w:val="005E21F4"/>
    <w:rsid w:val="005E49BB"/>
    <w:rsid w:val="005F0128"/>
    <w:rsid w:val="005F2A10"/>
    <w:rsid w:val="005F6316"/>
    <w:rsid w:val="005F7613"/>
    <w:rsid w:val="006010F2"/>
    <w:rsid w:val="006360D8"/>
    <w:rsid w:val="00662602"/>
    <w:rsid w:val="00673F16"/>
    <w:rsid w:val="006769C9"/>
    <w:rsid w:val="00695517"/>
    <w:rsid w:val="006A08C0"/>
    <w:rsid w:val="006A490D"/>
    <w:rsid w:val="006D042E"/>
    <w:rsid w:val="006D249D"/>
    <w:rsid w:val="006D5729"/>
    <w:rsid w:val="006E709C"/>
    <w:rsid w:val="006E7D45"/>
    <w:rsid w:val="006F11DC"/>
    <w:rsid w:val="00726BE3"/>
    <w:rsid w:val="00757A9E"/>
    <w:rsid w:val="00772820"/>
    <w:rsid w:val="007A3190"/>
    <w:rsid w:val="007A52F6"/>
    <w:rsid w:val="007A76C9"/>
    <w:rsid w:val="007A7CAB"/>
    <w:rsid w:val="007F3B1E"/>
    <w:rsid w:val="007F51F4"/>
    <w:rsid w:val="008003A7"/>
    <w:rsid w:val="00822769"/>
    <w:rsid w:val="008440DC"/>
    <w:rsid w:val="008442A5"/>
    <w:rsid w:val="00854E9F"/>
    <w:rsid w:val="00856F55"/>
    <w:rsid w:val="00857862"/>
    <w:rsid w:val="00857A52"/>
    <w:rsid w:val="00870B43"/>
    <w:rsid w:val="00891EE8"/>
    <w:rsid w:val="008A0639"/>
    <w:rsid w:val="008A4F6D"/>
    <w:rsid w:val="008F5EF0"/>
    <w:rsid w:val="00950F42"/>
    <w:rsid w:val="009562B4"/>
    <w:rsid w:val="00960F25"/>
    <w:rsid w:val="009674FD"/>
    <w:rsid w:val="009C51DF"/>
    <w:rsid w:val="009C5F9A"/>
    <w:rsid w:val="009F356F"/>
    <w:rsid w:val="009F54ED"/>
    <w:rsid w:val="00A00970"/>
    <w:rsid w:val="00A2027A"/>
    <w:rsid w:val="00A30643"/>
    <w:rsid w:val="00A3486C"/>
    <w:rsid w:val="00A41B2C"/>
    <w:rsid w:val="00A61147"/>
    <w:rsid w:val="00A750A5"/>
    <w:rsid w:val="00A834A4"/>
    <w:rsid w:val="00AB418D"/>
    <w:rsid w:val="00AC6EEA"/>
    <w:rsid w:val="00AD502E"/>
    <w:rsid w:val="00AE62CF"/>
    <w:rsid w:val="00AE7A9D"/>
    <w:rsid w:val="00AF25B7"/>
    <w:rsid w:val="00B233EB"/>
    <w:rsid w:val="00B34B94"/>
    <w:rsid w:val="00B41D65"/>
    <w:rsid w:val="00B5230D"/>
    <w:rsid w:val="00B5386D"/>
    <w:rsid w:val="00B57CE2"/>
    <w:rsid w:val="00B7756C"/>
    <w:rsid w:val="00B86109"/>
    <w:rsid w:val="00B92BC6"/>
    <w:rsid w:val="00BB7F2F"/>
    <w:rsid w:val="00BC0F52"/>
    <w:rsid w:val="00BC12C7"/>
    <w:rsid w:val="00BC6DA5"/>
    <w:rsid w:val="00C01F60"/>
    <w:rsid w:val="00C3519A"/>
    <w:rsid w:val="00C44704"/>
    <w:rsid w:val="00C7072E"/>
    <w:rsid w:val="00C82406"/>
    <w:rsid w:val="00CA42F4"/>
    <w:rsid w:val="00CB455A"/>
    <w:rsid w:val="00CE5138"/>
    <w:rsid w:val="00CF3149"/>
    <w:rsid w:val="00CF506C"/>
    <w:rsid w:val="00D00C42"/>
    <w:rsid w:val="00D011AC"/>
    <w:rsid w:val="00D0369E"/>
    <w:rsid w:val="00D11518"/>
    <w:rsid w:val="00DA1EF8"/>
    <w:rsid w:val="00DB66BC"/>
    <w:rsid w:val="00DB71DA"/>
    <w:rsid w:val="00DD0526"/>
    <w:rsid w:val="00DD440C"/>
    <w:rsid w:val="00DE1570"/>
    <w:rsid w:val="00DE4D9F"/>
    <w:rsid w:val="00DF04D7"/>
    <w:rsid w:val="00E07846"/>
    <w:rsid w:val="00E14E74"/>
    <w:rsid w:val="00E21437"/>
    <w:rsid w:val="00E73FD9"/>
    <w:rsid w:val="00E828E1"/>
    <w:rsid w:val="00E84CFA"/>
    <w:rsid w:val="00E91840"/>
    <w:rsid w:val="00E92469"/>
    <w:rsid w:val="00E95BB0"/>
    <w:rsid w:val="00EA06C9"/>
    <w:rsid w:val="00EF0E25"/>
    <w:rsid w:val="00EF3153"/>
    <w:rsid w:val="00EF5C79"/>
    <w:rsid w:val="00F01E40"/>
    <w:rsid w:val="00F05157"/>
    <w:rsid w:val="00F061C7"/>
    <w:rsid w:val="00F113BD"/>
    <w:rsid w:val="00F11E33"/>
    <w:rsid w:val="00F1332C"/>
    <w:rsid w:val="00F304F0"/>
    <w:rsid w:val="00F31F2E"/>
    <w:rsid w:val="00F426BE"/>
    <w:rsid w:val="00F5106D"/>
    <w:rsid w:val="00F67F6D"/>
    <w:rsid w:val="00F70822"/>
    <w:rsid w:val="00F70C90"/>
    <w:rsid w:val="00F8423B"/>
    <w:rsid w:val="00F862FF"/>
    <w:rsid w:val="00F86CB1"/>
    <w:rsid w:val="00FB16A6"/>
    <w:rsid w:val="00FB218F"/>
    <w:rsid w:val="00FC6986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4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142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06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1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31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31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31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14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23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31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314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314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2314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er">
    <w:name w:val="header"/>
    <w:basedOn w:val="Normal"/>
    <w:link w:val="HeaderChar"/>
    <w:uiPriority w:val="99"/>
    <w:unhideWhenUsed/>
    <w:rsid w:val="00523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14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3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142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47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47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47A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7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7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7AE"/>
    <w:rPr>
      <w:vertAlign w:val="superscript"/>
    </w:rPr>
  </w:style>
  <w:style w:type="table" w:styleId="TableGrid">
    <w:name w:val="Table Grid"/>
    <w:basedOn w:val="TableNormal"/>
    <w:uiPriority w:val="59"/>
    <w:rsid w:val="007A3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F51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7F51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F5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B57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2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440C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F84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4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142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06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1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31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31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31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14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23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31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314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314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2314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er">
    <w:name w:val="header"/>
    <w:basedOn w:val="Normal"/>
    <w:link w:val="HeaderChar"/>
    <w:uiPriority w:val="99"/>
    <w:unhideWhenUsed/>
    <w:rsid w:val="00523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14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3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142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47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47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47A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7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7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7AE"/>
    <w:rPr>
      <w:vertAlign w:val="superscript"/>
    </w:rPr>
  </w:style>
  <w:style w:type="table" w:styleId="TableGrid">
    <w:name w:val="Table Grid"/>
    <w:basedOn w:val="TableNormal"/>
    <w:uiPriority w:val="59"/>
    <w:rsid w:val="007A3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F51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7F51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F5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B57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2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440C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F84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ulonglong/Stochastic-POS-Tagg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Uni\Semester%205\CS4248\assignment2\StochasticPOSTagger\documentation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SG"/>
              <a:t>Accuracy</a:t>
            </a:r>
            <a:r>
              <a:rPr lang="en-SG" baseline="0"/>
              <a:t> </a:t>
            </a:r>
            <a:r>
              <a:rPr lang="en-SG"/>
              <a:t>against D-value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Sheet1!$A$111:$A$134</c:f>
              <c:numCache>
                <c:formatCode>0.000</c:formatCode>
                <c:ptCount val="24"/>
                <c:pt idx="0">
                  <c:v>0.05</c:v>
                </c:pt>
                <c:pt idx="1">
                  <c:v>0.06</c:v>
                </c:pt>
                <c:pt idx="2">
                  <c:v>7.0000000000000007E-2</c:v>
                </c:pt>
                <c:pt idx="3">
                  <c:v>7.4999999999999997E-2</c:v>
                </c:pt>
                <c:pt idx="4">
                  <c:v>0.08</c:v>
                </c:pt>
                <c:pt idx="5">
                  <c:v>8.5000000000000006E-2</c:v>
                </c:pt>
                <c:pt idx="6">
                  <c:v>0.09</c:v>
                </c:pt>
                <c:pt idx="7">
                  <c:v>9.5000000000000001E-2</c:v>
                </c:pt>
                <c:pt idx="8">
                  <c:v>0.1</c:v>
                </c:pt>
                <c:pt idx="9">
                  <c:v>0.125</c:v>
                </c:pt>
                <c:pt idx="10">
                  <c:v>0.15</c:v>
                </c:pt>
                <c:pt idx="11">
                  <c:v>0.2</c:v>
                </c:pt>
                <c:pt idx="12">
                  <c:v>0.25</c:v>
                </c:pt>
                <c:pt idx="13">
                  <c:v>0.3</c:v>
                </c:pt>
                <c:pt idx="14">
                  <c:v>0.35</c:v>
                </c:pt>
                <c:pt idx="15">
                  <c:v>0.4</c:v>
                </c:pt>
                <c:pt idx="16">
                  <c:v>0.45</c:v>
                </c:pt>
                <c:pt idx="17">
                  <c:v>0.5</c:v>
                </c:pt>
                <c:pt idx="18">
                  <c:v>0.55000000000000004</c:v>
                </c:pt>
                <c:pt idx="19">
                  <c:v>0.6</c:v>
                </c:pt>
                <c:pt idx="20">
                  <c:v>0.65</c:v>
                </c:pt>
                <c:pt idx="21">
                  <c:v>0.7</c:v>
                </c:pt>
                <c:pt idx="22">
                  <c:v>0.75</c:v>
                </c:pt>
                <c:pt idx="23">
                  <c:v>0.8</c:v>
                </c:pt>
              </c:numCache>
            </c:numRef>
          </c:cat>
          <c:val>
            <c:numRef>
              <c:f>Sheet1!$B$111:$B$134</c:f>
              <c:numCache>
                <c:formatCode>0.00000</c:formatCode>
                <c:ptCount val="24"/>
                <c:pt idx="0">
                  <c:v>0.95691999999999999</c:v>
                </c:pt>
                <c:pt idx="1">
                  <c:v>0.95687999999999995</c:v>
                </c:pt>
                <c:pt idx="2">
                  <c:v>0.95687999999999995</c:v>
                </c:pt>
                <c:pt idx="3">
                  <c:v>0.95691999999999999</c:v>
                </c:pt>
                <c:pt idx="4">
                  <c:v>0.95696000000000003</c:v>
                </c:pt>
                <c:pt idx="5">
                  <c:v>0.95696000000000003</c:v>
                </c:pt>
                <c:pt idx="6">
                  <c:v>0.95696000000000003</c:v>
                </c:pt>
                <c:pt idx="7">
                  <c:v>0.95694000000000001</c:v>
                </c:pt>
                <c:pt idx="8">
                  <c:v>0.95689999999999997</c:v>
                </c:pt>
                <c:pt idx="9">
                  <c:v>0.95684000000000002</c:v>
                </c:pt>
                <c:pt idx="10">
                  <c:v>0.95689999999999997</c:v>
                </c:pt>
                <c:pt idx="11">
                  <c:v>0.95677000000000001</c:v>
                </c:pt>
                <c:pt idx="12">
                  <c:v>0.95642000000000005</c:v>
                </c:pt>
                <c:pt idx="13">
                  <c:v>0.95613999999999999</c:v>
                </c:pt>
                <c:pt idx="14">
                  <c:v>0.95601999999999998</c:v>
                </c:pt>
                <c:pt idx="15">
                  <c:v>0.95569999999999999</c:v>
                </c:pt>
                <c:pt idx="16">
                  <c:v>0.95537000000000005</c:v>
                </c:pt>
                <c:pt idx="17">
                  <c:v>0.95508999999999999</c:v>
                </c:pt>
                <c:pt idx="18">
                  <c:v>0.95496999999999999</c:v>
                </c:pt>
                <c:pt idx="19">
                  <c:v>0.95442000000000005</c:v>
                </c:pt>
                <c:pt idx="20">
                  <c:v>0.95372999999999997</c:v>
                </c:pt>
                <c:pt idx="21" formatCode="General">
                  <c:v>0.95325000000000004</c:v>
                </c:pt>
                <c:pt idx="22" formatCode="General">
                  <c:v>0.95248999999999995</c:v>
                </c:pt>
                <c:pt idx="23" formatCode="General">
                  <c:v>0.95187999999999995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01152"/>
        <c:axId val="55390592"/>
      </c:lineChart>
      <c:catAx>
        <c:axId val="49601152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crossAx val="55390592"/>
        <c:crosses val="autoZero"/>
        <c:auto val="1"/>
        <c:lblAlgn val="ctr"/>
        <c:lblOffset val="100"/>
        <c:noMultiLvlLbl val="0"/>
      </c:catAx>
      <c:valAx>
        <c:axId val="55390592"/>
        <c:scaling>
          <c:orientation val="minMax"/>
        </c:scaling>
        <c:delete val="0"/>
        <c:axPos val="l"/>
        <c:majorGridlines/>
        <c:numFmt formatCode="0.00000" sourceLinked="1"/>
        <c:majorTickMark val="none"/>
        <c:minorTickMark val="none"/>
        <c:tickLblPos val="nextTo"/>
        <c:spPr>
          <a:ln w="9525">
            <a:noFill/>
          </a:ln>
        </c:spPr>
        <c:crossAx val="4960115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2BD9D-7E87-4E25-B361-17947047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Kester</dc:creator>
  <cp:lastModifiedBy>Steven Kester</cp:lastModifiedBy>
  <cp:revision>171</cp:revision>
  <cp:lastPrinted>2014-10-09T01:27:00Z</cp:lastPrinted>
  <dcterms:created xsi:type="dcterms:W3CDTF">2014-10-01T15:51:00Z</dcterms:created>
  <dcterms:modified xsi:type="dcterms:W3CDTF">2014-10-17T16:42:00Z</dcterms:modified>
</cp:coreProperties>
</file>