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示例标段一 · 内部审计要点</w:t>
      </w:r>
    </w:p>
    <w:p>
      <w:r>
        <w:t>编制单位：示例科技有限公司A</w:t>
      </w:r>
    </w:p>
    <w:p>
      <w:r>
        <w:t>编制人：王五</w:t>
      </w:r>
    </w:p>
    <w:p>
      <w:r>
        <w:t>评审纪要</w:t>
      </w:r>
    </w:p>
    <w:p>
      <w:r>
        <w:t>本阶段围绕整改期限开展复核，凭证附件按既定口径取值，并在整改结果中留档。</w:t>
      </w:r>
    </w:p>
    <w:p>
      <w:r>
        <w:t>经复核，抽样比例较上一版调整8个百分点，合同履行保持稳定，责任部门同步更新。</w:t>
      </w:r>
    </w:p>
    <w:p>
      <w:r>
        <w:t>结合整改期限与复核意见的实际条件，追溯结论为：整改结果满足当前阶段要求。</w:t>
      </w:r>
    </w:p>
    <w:p>
      <w:r>
        <w:t>在问题清单层面，合同履行按18个工作日的节奏推进，整改期限由责任小组逐项确认。</w:t>
      </w:r>
    </w:p>
    <w:p>
      <w:r>
        <w:t>抽查整改期限时需同步核对审批流程，偏差超过6个百分点即启动纠偏程序。</w:t>
      </w:r>
    </w:p>
    <w:p>
      <w:r>
        <w:t>针对资金流向，本文件明确了整改结果的归属与接口，抽样比例作为复核依据一并归档。</w:t>
      </w:r>
    </w:p>
    <w:p>
      <w:r>
        <w:t>上一周期凭证附件累计13项，其中与审批流程相关的记录已纳入责任部门。</w:t>
      </w:r>
    </w:p>
    <w:p>
      <w:r>
        <w:t>整改结果显示，复核意见与抽样比例的匹配度满足约定，后续按3日周期复评。</w:t>
      </w:r>
    </w:p>
    <w:p>
      <w:r>
        <w:t>本阶段围绕复核意见开展核对，合同履行按既定口径取值，并在问题清单中留档。</w:t>
      </w:r>
    </w:p>
    <w:p>
      <w:r>
        <w:t>经追溯，合同履行较上一版调整6个百分点，整改期限保持稳定，整改结果同步更新。</w:t>
      </w:r>
    </w:p>
    <w:p>
      <w:r>
        <w:t>本文件由示例建设集团C 编制，仅用于示例项目乙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示例标段一 · 内部审计要点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