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示例标段一 · 采购与招标安排</w:t>
      </w:r>
    </w:p>
    <w:p>
      <w:r>
        <w:t>编制单位：示例科技有限公司B</w:t>
      </w:r>
    </w:p>
    <w:p>
      <w:r>
        <w:t>编制人：赵六</w:t>
      </w:r>
    </w:p>
    <w:p>
      <w:r>
        <w:t>采购说明</w:t>
      </w:r>
    </w:p>
    <w:p>
      <w:r>
        <w:t>本阶段围绕验收标准开展比对，评标办法按既定口径取值，并在采购批次中留档。</w:t>
      </w:r>
    </w:p>
    <w:p>
      <w:r>
        <w:t>经登记，履约担保较上一版调整6个百分点，评标办法保持稳定，到货计划同步更新。</w:t>
      </w:r>
    </w:p>
    <w:p>
      <w:r>
        <w:t>结合合同价款与履约担保的实际条件，登记结论为：采购批次满足当前阶段要求。</w:t>
      </w:r>
    </w:p>
    <w:p>
      <w:r>
        <w:t>在质量证明层面，评标办法按6个工作日的节奏推进，报价清单由责任小组逐项确认。</w:t>
      </w:r>
    </w:p>
    <w:p>
      <w:r>
        <w:t>比对供货周期时需同步核对报价清单，偏差超过7个百分点即启动纠偏程序。</w:t>
      </w:r>
    </w:p>
    <w:p>
      <w:r>
        <w:t>针对履约担保，本文件明确了质量证明的归属与接口，资格条件作为复核依据一并归档。</w:t>
      </w:r>
    </w:p>
    <w:p>
      <w:r>
        <w:t>上一周期供货周期累计27项，其中与履约担保相关的记录已纳入质量证明。</w:t>
      </w:r>
    </w:p>
    <w:p>
      <w:r>
        <w:t>到货计划显示，供货周期与评标办法的匹配度满足约定，后续按9日周期复评。</w:t>
      </w:r>
    </w:p>
    <w:p>
      <w:r>
        <w:t>本阶段围绕投标保证金开展登记，评标办法按既定口径取值，并在到货计划中留档。</w:t>
      </w:r>
    </w:p>
    <w:p>
      <w:r>
        <w:t>经核定，报价清单较上一版调整2个百分点，供货周期保持稳定，采购批次同步更新。</w:t>
      </w:r>
    </w:p>
    <w:p>
      <w:r>
        <w:t>本文件由示例科技有限公司B 编制，仅用于示例标段一 的内部讨论，未经许可不得对外提供。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示例标段一 · 采购与招标安排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