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示例项目乙 · 设计深化说明</w:t>
      </w:r>
    </w:p>
    <w:p>
      <w:r>
        <w:t>编制单位：示例建设集团C</w:t>
      </w:r>
    </w:p>
    <w:p>
      <w:r>
        <w:t>编制人：张三</w:t>
      </w:r>
    </w:p>
    <w:p>
      <w:r>
        <w:t>跨格式一致性</w:t>
      </w:r>
    </w:p>
    <w:p>
      <w:r>
        <w:t>本阶段围绕构造做法开展归档，设计交底按既定口径取值，并在设计文件中留档。</w:t>
      </w:r>
    </w:p>
    <w:p>
      <w:r>
        <w:t>经深化，专业接口较上一版调整3个百分点，材料选型保持稳定，版本控制同步更新。</w:t>
      </w:r>
    </w:p>
    <w:p>
      <w:r>
        <w:t>结合设计交底与变更流程的实际条件，确认结论为：设计文件满足当前阶段要求。</w:t>
      </w:r>
    </w:p>
    <w:p>
      <w:r>
        <w:t>在专业协调层面，设计输入按16个工作日的节奏推进，设计交底由责任小组逐项确认。</w:t>
      </w:r>
    </w:p>
    <w:p>
      <w:r>
        <w:t>归档计算书时需同步核对构造做法，偏差超过5个百分点即启动纠偏程序。</w:t>
      </w:r>
    </w:p>
    <w:p>
      <w:r>
        <w:t>针对设计交底，本文件明确了专业协调的归属与接口，构造做法作为复核依据一并归档。</w:t>
      </w:r>
    </w:p>
    <w:p>
      <w:r>
        <w:t>上一周期计算书累计21项，其中与构造做法相关的记录已纳入设计文件。</w:t>
      </w:r>
    </w:p>
    <w:p>
      <w:r>
        <w:t>版本控制显示，设计交底与图纸会审的匹配度满足约定，后续按10日周期复评。</w:t>
      </w:r>
    </w:p>
    <w:p>
      <w:r>
        <w:t>本阶段围绕图纸会审开展归档，材料选型按既定口径取值，并在版本控制中留档。</w:t>
      </w:r>
    </w:p>
    <w:p>
      <w:r>
        <w:t>经深化，专业接口较上一版调整2个百分点，设计交底保持稳定，专业协调同步更新。</w:t>
      </w:r>
    </w:p>
    <w:p>
      <w:r>
        <w:t>本文件由示例科技有限公司A 编制，仅用于示例标段一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示例项目乙 · 设计深化说明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