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人员培训方案</w:t>
      </w:r>
    </w:p>
    <w:p>
      <w:r>
        <w:t>编制单位：示例科技有限公司A</w:t>
      </w:r>
    </w:p>
    <w:p>
      <w:r>
        <w:t>编制人：王五</w:t>
      </w:r>
    </w:p>
    <w:p>
      <w:r>
        <w:t>培训方案</w:t>
      </w:r>
    </w:p>
    <w:p>
      <w:r>
        <w:t>本阶段围绕实操演练开展记录，复训周期按既定口径取值，并在培训档案中留档。</w:t>
      </w:r>
    </w:p>
    <w:p>
      <w:r>
        <w:t>经安排，考核方式较上一版调整3个百分点，课程大纲保持稳定，效果评估同步更新。</w:t>
      </w:r>
    </w:p>
    <w:p>
      <w:r>
        <w:t>结合参训名单与课程大纲的实际条件，安排结论为：效果评估满足当前阶段要求。</w:t>
      </w:r>
    </w:p>
    <w:p>
      <w:r>
        <w:t>在培训档案层面，培训课时按8个工作日的节奏推进，考核方式由责任小组逐项确认。</w:t>
      </w:r>
    </w:p>
    <w:p>
      <w:r>
        <w:t>考核实操演练时需同步核对参训名单，偏差超过1个百分点即启动纠偏程序。</w:t>
      </w:r>
    </w:p>
    <w:p>
      <w:r>
        <w:t>针对培训课时，本文件明确了培训档案的归属与接口，课程大纲作为复核依据一并归档。</w:t>
      </w:r>
    </w:p>
    <w:p>
      <w:r>
        <w:t>上一周期复训周期累计36项，其中与培训课时相关的记录已纳入培训档案。</w:t>
      </w:r>
    </w:p>
    <w:p>
      <w:r>
        <w:t>培训计划显示，师资安排与培训课时的匹配度满足约定，后续按15日周期复评。</w:t>
      </w:r>
    </w:p>
    <w:p>
      <w:r>
        <w:t>本阶段围绕实操演练开展安排，考核方式按既定口径取值，并在效果评估中留档。</w:t>
      </w:r>
    </w:p>
    <w:p>
      <w:r>
        <w:t>经记录，课程大纲较上一版调整6个百分点，师资安排保持稳定，效果评估同步更新。</w:t>
      </w:r>
    </w:p>
    <w:p>
      <w:r>
        <w:t>本文件由示例科技有限公司B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人员培训方案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