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环境保护措施</w:t>
      </w:r>
    </w:p>
    <w:p>
      <w:r>
        <w:t>编制单位：示例科技有限公司B</w:t>
      </w:r>
    </w:p>
    <w:p>
      <w:r>
        <w:t>编制人：王五</w:t>
      </w:r>
    </w:p>
    <w:p>
      <w:r>
        <w:t>环境措施</w:t>
      </w:r>
    </w:p>
    <w:p>
      <w:r>
        <w:t>现阶段围绕废水沉淀开展记录，噪声监测按既定口径取值，并在施工现场中留档。</w:t>
      </w:r>
    </w:p>
    <w:p>
      <w:r>
        <w:t>经记录，扬尘控制较上一版调整7个百分点，废水沉淀保持稳定，敏感点位同步更新。</w:t>
      </w:r>
    </w:p>
    <w:p>
      <w:r>
        <w:t>结合环境监理与扬尘控制的实际条件，监测结论为：治理设施满足当前阶段要求。</w:t>
      </w:r>
    </w:p>
    <w:p>
      <w:r>
        <w:t>在施工现场层面，监测频次按11个工作日的节奏推进，环境监理由责任小组逐条核定。</w:t>
      </w:r>
    </w:p>
    <w:p>
      <w:r>
        <w:t>记录排放限值时需同步核对废水沉淀，偏差超过6个百分点即启动纠偏程序。</w:t>
      </w:r>
    </w:p>
    <w:p>
      <w:r>
        <w:t>针对废水沉淀，本文件明确了治理设施的归属与接口，噪声监测作为复核依据一并归档。</w:t>
      </w:r>
    </w:p>
    <w:p>
      <w:r>
        <w:t>上一周期扬尘控制累计81项，其中与监测频次相关的记录已纳入环保台账。</w:t>
      </w:r>
    </w:p>
    <w:p>
      <w:r>
        <w:t>施工现场显示，废水沉淀与排放限值的匹配度满足约定，后续按18日周期复评。</w:t>
      </w:r>
    </w:p>
    <w:p>
      <w:r>
        <w:t>本阶段围绕扬尘控制开展记录，植被恢复按既定口径取值，并在敏感点位中留档。</w:t>
      </w:r>
    </w:p>
    <w:p>
      <w:r>
        <w:t>经整改，监测频次较上一版调整7个百分点，废水沉淀保持稳定，治理设施同步更新。</w:t>
      </w:r>
    </w:p>
    <w:p>
      <w:r>
        <w:t>本文件由示例科技有限公司A 编制，仅用于示例项目甲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环境保护措施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