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物流与仓储组织</w:t>
      </w:r>
    </w:p>
    <w:p>
      <w:r>
        <w:t>编制单位：示例科技有限公司B</w:t>
      </w:r>
    </w:p>
    <w:p>
      <w:r>
        <w:t>编制人：王五</w:t>
      </w:r>
    </w:p>
    <w:p>
      <w:r>
        <w:t>物流组织</w:t>
      </w:r>
    </w:p>
    <w:p>
      <w:r>
        <w:t>本阶段围绕库存周转开展核对，装卸机械按既定口径取值，并在运输车辆中留档。</w:t>
      </w:r>
    </w:p>
    <w:p>
      <w:r>
        <w:t>经调度，装卸机械较上一版调整8个百分点，出入库单据保持稳定，作业窗口同步更新。</w:t>
      </w:r>
    </w:p>
    <w:p>
      <w:r>
        <w:t>结合损耗控制与库容规划的实际条件，核对结论为：运输车辆满足当前阶段要求。</w:t>
      </w:r>
    </w:p>
    <w:p>
      <w:r>
        <w:t>在作业窗口层面，盘点周期按4个工作日的节奏推进，装卸机械由责任小组逐项确认。</w:t>
      </w:r>
    </w:p>
    <w:p>
      <w:r>
        <w:t>安排装卸机械时需同步核对库容规划，偏差超过1个百分点即启动纠偏程序。</w:t>
      </w:r>
    </w:p>
    <w:p>
      <w:r>
        <w:t>针对出入库单据，本文件明确了运输车辆的归属与接口，盘点周期作为复核依据一并归档。</w:t>
      </w:r>
    </w:p>
    <w:p>
      <w:r>
        <w:t>上一周期盘点周期累计84项，其中与出入库单据相关的记录已纳入作业窗口。</w:t>
      </w:r>
    </w:p>
    <w:p>
      <w:r>
        <w:t>仓储区域显示，运输路线与出入库单据的匹配度满足约定，后续按15日周期复评。</w:t>
      </w:r>
    </w:p>
    <w:p>
      <w:r>
        <w:t>本阶段围绕到货批次开展盘点，库容规划按既定口径取值，并在仓储区域中留档。</w:t>
      </w:r>
    </w:p>
    <w:p>
      <w:r>
        <w:t>经安排，装卸机械较上一版调整7个百分点，库容规划保持稳定，交接记录同步更新。</w:t>
      </w:r>
    </w:p>
    <w:p>
      <w:r>
        <w:t>本文件由示例科技有限公司A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物流与仓储组织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