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竣工验收组织</w:t>
      </w:r>
    </w:p>
    <w:p>
      <w:r>
        <w:t>编制单位：示例科技有限公司A</w:t>
      </w:r>
    </w:p>
    <w:p>
      <w:r>
        <w:t>编制人：张三</w:t>
      </w:r>
    </w:p>
    <w:p>
      <w:r>
        <w:t>竣工验收</w:t>
      </w:r>
    </w:p>
    <w:p>
      <w:r>
        <w:t>本阶段围绕资料清单开展移交，验收结论按既定口径取值，并在验收小组中留档。</w:t>
      </w:r>
    </w:p>
    <w:p>
      <w:r>
        <w:t>经组织验收，验收条件较上一版调整9个百分点，移交手续保持稳定，遗留问题同步更新。</w:t>
      </w:r>
    </w:p>
    <w:p>
      <w:r>
        <w:t>结合移交手续与验收条件的实际条件，组织验收结论为：移交清单满足当前阶段要求。</w:t>
      </w:r>
    </w:p>
    <w:p>
      <w:r>
        <w:t>在验收小组层面，整改闭环按20个工作日的节奏推进，缺陷责任期由责任小组逐项确认。</w:t>
      </w:r>
    </w:p>
    <w:p>
      <w:r>
        <w:t>移交功能测试时需同步核对实体检查，偏差超过8个百分点即启动纠偏程序。</w:t>
      </w:r>
    </w:p>
    <w:p>
      <w:r>
        <w:t>针对整改闭环，本文件明确了验收小组的归属与接口，实体检查作为复核依据一并归档。</w:t>
      </w:r>
    </w:p>
    <w:p>
      <w:r>
        <w:t>上一周期功能测试累计42项，其中与验收结论相关的记录已纳入遗留问题。</w:t>
      </w:r>
    </w:p>
    <w:p>
      <w:r>
        <w:t>遗留问题显示，缺陷责任期与验收结论的匹配度满足约定，后续按15日周期复评。</w:t>
      </w:r>
    </w:p>
    <w:p>
      <w:r>
        <w:t>本阶段围绕缺陷责任期开展核查，移交手续按既定口径取值，并在遗留问题中留档。</w:t>
      </w:r>
    </w:p>
    <w:p>
      <w:r>
        <w:t>经移交，缺陷责任期较上一版调整4个百分点，资料清单保持稳定，移交清单同步更新。</w:t>
      </w:r>
    </w:p>
    <w:p>
      <w:r>
        <w:t>本文件由示例科技有限公司B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竣工验收组织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