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· 运行维护安排</w:t>
      </w:r>
    </w:p>
    <w:p>
      <w:r>
        <w:t>编制单位：示例科技有限公司B</w:t>
      </w:r>
    </w:p>
    <w:p>
      <w:r>
        <w:t>编制人：张三</w:t>
      </w:r>
    </w:p>
    <w:p>
      <w:r>
        <w:t>运维安排</w:t>
      </w:r>
    </w:p>
    <w:p>
      <w:r>
        <w:t>本阶段围绕故障响应开展记录，责任分工按既定口径取值，并在运维班组中留档。</w:t>
      </w:r>
    </w:p>
    <w:p>
      <w:r>
        <w:t>经巡检，巡检周期较上一版调整3个百分点，运行记录保持稳定，运维班组同步更新。</w:t>
      </w:r>
    </w:p>
    <w:p>
      <w:r>
        <w:t>结合保养计划与能耗指标的实际条件，响应结论为：服务时限满足当前阶段要求。</w:t>
      </w:r>
    </w:p>
    <w:p>
      <w:r>
        <w:t>在服务时限层面，故障响应按20个工作日的节奏推进，保养计划由责任小组逐项确认。</w:t>
      </w:r>
    </w:p>
    <w:p>
      <w:r>
        <w:t>巡检检修窗口时需同步核对保养计划，偏差超过6个百分点即启动纠偏程序。</w:t>
      </w:r>
    </w:p>
    <w:p>
      <w:r>
        <w:t>针对运行记录，本文件明确了处置流程的归属与接口，故障响应作为核对依据一并归档。</w:t>
      </w:r>
    </w:p>
    <w:p>
      <w:r>
        <w:t>上一周期能耗指标累计17项，其中与备件库存相关的记录已纳入处置流程。</w:t>
      </w:r>
    </w:p>
    <w:p>
      <w:r>
        <w:t>设备台账显示，责任分工与保养计划的匹配度满足约定，后续按10日周期复评。</w:t>
      </w:r>
    </w:p>
    <w:p>
      <w:r>
        <w:t>本阶段围绕备件库存开展保养，故障响应按既定口径取值，并在处置流程中留档。</w:t>
      </w:r>
    </w:p>
    <w:p>
      <w:r>
        <w:t>经保养，运行记录较上一版调整2个百分点，备件库存保持稳定，服务时限同步更新。</w:t>
      </w:r>
    </w:p>
    <w:p>
      <w:r>
        <w:t>本文件由示例科技有限公司B 编制，仅用于示例标段一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· 运行维护安排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