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示例标段一 · 投资可行性研究</w:t>
      </w:r>
    </w:p>
    <w:p>
      <w:r>
        <w:t>编制单位：示例科技有限公司A</w:t>
      </w:r>
    </w:p>
    <w:p>
      <w:r>
        <w:t>编制人：李四</w:t>
      </w:r>
    </w:p>
    <w:p>
      <w:r>
        <w:t>投资复核</w:t>
      </w:r>
    </w:p>
    <w:p>
      <w:r>
        <w:t>本阶段围绕敏感性分析开展复核，建设期按既定口径取值，并在资金来源中留档。</w:t>
      </w:r>
    </w:p>
    <w:p>
      <w:r>
        <w:t>经估算，折旧年限较上一版调整8个百分点，建设期保持稳定，资金来源同步更新。</w:t>
      </w:r>
    </w:p>
    <w:p>
      <w:r>
        <w:t>结合敏感性分析与折旧年限的实际条件，论证结论为：成本结构满足当前阶段要求。</w:t>
      </w:r>
    </w:p>
    <w:p>
      <w:r>
        <w:t>在资金来源层面，流动资金按5个工作日的节奏推进，建设期由责任小组逐项确认。</w:t>
      </w:r>
    </w:p>
    <w:p>
      <w:r>
        <w:t>估算总投资额时需同步核对建设期，偏差超过5个百分点即启动纠偏程序。</w:t>
      </w:r>
    </w:p>
    <w:p>
      <w:r>
        <w:t>针对敏感性分析，本文件明确了收益测算的归属与接口，财务内部收益率作为复核依据一并归档。</w:t>
      </w:r>
    </w:p>
    <w:p>
      <w:r>
        <w:t>上一周期建设期累计79项，其中与资本金相关的记录已纳入成本结构。</w:t>
      </w:r>
    </w:p>
    <w:p>
      <w:r>
        <w:t>资金来源显示，投资回收期与折旧年限的匹配度满足约定，后续按6日周期复评。</w:t>
      </w:r>
    </w:p>
    <w:p>
      <w:r>
        <w:t>本阶段围绕建设期开展估算，敏感性分析按既定口径取值，并在风险敞口中留档。</w:t>
      </w:r>
    </w:p>
    <w:p>
      <w:r>
        <w:t>经测算，投资回收期较上一版调整5个百分点，总投资额保持稳定，成本结构同步更新。</w:t>
      </w:r>
    </w:p>
    <w:p>
      <w:r>
        <w:t>本文件由示例科技有限公司A 编制，仅用于示例项目乙 的内部讨论，未经许可不得对外提供。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示例标段一 · 投资可行性研究</dc:title>
  <dc:subject/>
  <dc:creator>示例科技有限公司A</dc:creator>
  <cp:keywords/>
  <dc:description/>
  <cp:lastModifiedBy>示例科技有限公司A</cp:lastModifiedBy>
  <cp:revision>1</cp:revision>
  <dcterms:created xsi:type="dcterms:W3CDTF">1980-01-01T00:00:00Z</dcterms:created>
  <dcterms:modified xsi:type="dcterms:W3CDTF">1980-01-01T00:00:00Z</dcterms:modified>
  <cp:category/>
  <cp:lastPrinted>1980-01-01T00:00:00Z</cp:lastPrinted>
</cp:coreProperties>
</file>