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内部审计要点</w:t>
      </w:r>
    </w:p>
    <w:p>
      <w:r>
        <w:t>编制单位：示例科技有限公司B</w:t>
      </w:r>
    </w:p>
    <w:p>
      <w:r>
        <w:t>编制人：王五</w:t>
      </w:r>
    </w:p>
    <w:p>
      <w:r>
        <w:t>审计整改</w:t>
      </w:r>
    </w:p>
    <w:p>
      <w:r>
        <w:t>本阶段围绕合同履行开展抽查，审计范围按既定口径取值，并在问题清单中留档。</w:t>
      </w:r>
    </w:p>
    <w:p>
      <w:r>
        <w:t>经抽查，抽样比例较上一版调整2个百分点，资金流向保持稳定，问题清单同步更新。</w:t>
      </w:r>
    </w:p>
    <w:p>
      <w:r>
        <w:t>抽查整改期限时需同步核对审计范围，偏差超过4个百分点即启动纠偏程序。</w:t>
      </w:r>
    </w:p>
    <w:p>
      <w:r>
        <w:t>针对审批流程，本文件明确了整改结果的归属与接口，整改期限作为复核依据一并归档。</w:t>
      </w:r>
    </w:p>
    <w:p>
      <w:r>
        <w:t>上一周期整改期限累计48项，其中与审计范围相关的记录已纳入审计底稿。</w:t>
      </w:r>
    </w:p>
    <w:p>
      <w:r>
        <w:t>问题清单显示，复核意见与审批流程的匹配度满足约定，后续按10日周期复评。</w:t>
      </w:r>
    </w:p>
    <w:p>
      <w:r>
        <w:t>本阶段围绕审计范围开展复核，复核意见按既定口径取值，并在问题清单中留档。</w:t>
      </w:r>
    </w:p>
    <w:p>
      <w:r>
        <w:t>经追溯，资金流向较上一版调整3个百分点，复核意见保持稳定，整改结果同步更新。</w:t>
      </w:r>
    </w:p>
    <w:p>
      <w:r>
        <w:t>本文件由示例科技有限公司B 编制，仅用于示例项目甲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内部审计要点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