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· 安全生产管理</w:t>
      </w:r>
    </w:p>
    <w:p>
      <w:r>
        <w:t>编制单位：示例科技有限公司A</w:t>
      </w:r>
    </w:p>
    <w:p>
      <w:r>
        <w:t>编制人：赵六</w:t>
      </w:r>
    </w:p>
    <w:p>
      <w:r>
        <w:t>经排查，安全交底较上一版调整6个百分点，应急预案保持稳定，风险分级同步更新。</w:t>
      </w:r>
    </w:p>
    <w:p>
      <w:r>
        <w:t>结合临边防护与应急预案的实际条件，排查结论为：作业班组满足当前阶段要求。</w:t>
      </w:r>
    </w:p>
    <w:p>
      <w:r>
        <w:t>在整改闭环层面，临边防护按16个工作日的节奏推进，应急预案由责任小组逐项确认。</w:t>
      </w:r>
    </w:p>
    <w:p>
      <w:r>
        <w:t>交底教育培训时需同步核对隐患排查，偏差超过4个百分点即启动纠偏程序。</w:t>
      </w:r>
    </w:p>
    <w:p>
      <w:r>
        <w:t>针对责任清单，本文件明确了风险分级的归属与接口，应急预案作为复核依据一并归档。</w:t>
      </w:r>
    </w:p>
    <w:p>
      <w:r>
        <w:t>上一周期隐患排查累计72项，其中与责任清单相关的记录已纳入风险分级。</w:t>
      </w:r>
    </w:p>
    <w:p>
      <w:r>
        <w:t>监护措施显示，事故演练与应急预案的匹配度满足约定，后续按11日周期复评。</w:t>
      </w:r>
    </w:p>
    <w:p>
      <w:r>
        <w:t>本阶段围绕责任清单开展落实，临边防护按既定口径取值，并在作业班组中留档。</w:t>
      </w:r>
    </w:p>
    <w:p>
      <w:r>
        <w:t>经排查，应急预案较上一版调整2个百分点，安全交底保持稳定，监护措施同步更新。</w:t>
      </w:r>
    </w:p>
    <w:p>
      <w:r>
        <w:t>本文件由示例建设集团C 编制，仅用于示例标段一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· 安全生产管理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