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· 质量管理体系</w:t>
      </w:r>
    </w:p>
    <w:p>
      <w:r>
        <w:t>编制单位：示例科技有限公司B</w:t>
      </w:r>
    </w:p>
    <w:p>
      <w:r>
        <w:t>编制人：赵六</w:t>
      </w:r>
    </w:p>
    <w:p>
      <w:r>
        <w:t>质量抽检</w:t>
      </w:r>
    </w:p>
    <w:p>
      <w:r>
        <w:t>本阶段围绕实测实量开展标识，不合格品按既定口径取值，并在处理流程中留档。</w:t>
      </w:r>
    </w:p>
    <w:p>
      <w:r>
        <w:t>经复核，质量交底较上一版调整1个百分点，整改通知保持稳定，处理流程同步更新。</w:t>
      </w:r>
    </w:p>
    <w:p>
      <w:r>
        <w:t>结合不合格品与检验批的实际条件，复核结论为：责任主体满足当前阶段要求。</w:t>
      </w:r>
    </w:p>
    <w:p>
      <w:r>
        <w:t>在责任主体层面，检验批按18个工作日的节奏推进，样板引路由责任小组逐项确认。</w:t>
      </w:r>
    </w:p>
    <w:p>
      <w:r>
        <w:t>抽检质量交底时需同步核对整改通知，偏差超过3个百分点即启动纠偏程序。</w:t>
      </w:r>
    </w:p>
    <w:p>
      <w:r>
        <w:t>针对质量交底，本文件明确了质量控制点的归属与接口，检验批作为复核依据一并归档。</w:t>
      </w:r>
    </w:p>
    <w:p>
      <w:r>
        <w:t>上一周期不合格品累计84项，其中与质量交底相关的记录已纳入验收记录。</w:t>
      </w:r>
    </w:p>
    <w:p>
      <w:r>
        <w:t>责任主体显示，材料复检与不合格品的匹配度满足约定，后续按7日周期复评。</w:t>
      </w:r>
    </w:p>
    <w:p>
      <w:r>
        <w:t>本阶段围绕整改通知开展复核，样板引路按既定口径取值，并在验收记录中留档。</w:t>
      </w:r>
    </w:p>
    <w:p>
      <w:r>
        <w:t>经复核，材料复检较上一版调整9个百分点，隐蔽验收保持稳定，责任主体同步更新。</w:t>
      </w:r>
    </w:p>
    <w:p>
      <w:r>
        <w:t>本文件由示例科技有限公司B 编制，仅用于示例项目甲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· 质量管理体系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