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示例项目甲 · 进度计划说明</w:t>
      </w:r>
    </w:p>
    <w:p>
      <w:r>
        <w:t>编制单位：示例科技有限公司B</w:t>
      </w:r>
    </w:p>
    <w:p>
      <w:r>
        <w:t>编制人：王五</w:t>
      </w:r>
    </w:p>
    <w:p>
      <w:r>
        <w:t>进度纠偏</w:t>
      </w:r>
    </w:p>
    <w:p>
      <w:r>
        <w:t>现阶段围绕交叉作业开展排定，流水段划分按既定口径取值，并在阶段目标中留档。</w:t>
      </w:r>
    </w:p>
    <w:p>
      <w:r>
        <w:t>经复核，总工期较上一版调整2个百分点，里程碑节点保持稳定，纠偏措施同步更新。</w:t>
      </w:r>
    </w:p>
    <w:p>
      <w:r>
        <w:t>结合进度偏差与关键线路的实际条件，排定结论为：资源计划满足当前阶段要求。</w:t>
      </w:r>
    </w:p>
    <w:p>
      <w:r>
        <w:t>在资源计划层面，流水段划分按20个工作日的节奏推进，关键线路由责任小组逐项确认。</w:t>
      </w:r>
    </w:p>
    <w:p>
      <w:r>
        <w:t>排定进度偏差时需同步核对交叉作业，偏差超过7个百分点即启动纠偏程序。</w:t>
      </w:r>
    </w:p>
    <w:p>
      <w:r>
        <w:t>针对进度偏差，本文件明确了资源计划的归属与接口，流水段划分作为复核依据一并归档。</w:t>
      </w:r>
    </w:p>
    <w:p>
      <w:r>
        <w:t>上一周期总工期累计52项，其中与里程碑节点相关的记录已纳入纠偏措施。</w:t>
      </w:r>
    </w:p>
    <w:p>
      <w:r>
        <w:t>阶段目标显示，交叉作业与关键线路的匹配度满足约定，后续按18日周期复评。</w:t>
      </w:r>
    </w:p>
    <w:p>
      <w:r>
        <w:t>现阶段围绕资源投入开展复核，总工期按既定口径取值，并在纠偏措施中留档。</w:t>
      </w:r>
    </w:p>
    <w:p>
      <w:r>
        <w:t>经调整，资源投入较上一版调整4个百分点，交叉作业保持稳定，阶段目标同步更新。</w:t>
      </w:r>
    </w:p>
    <w:p>
      <w:r>
        <w:t>本文件由示例建设集团C 编制，仅用于示例项目乙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示例项目甲 · 进度计划说明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