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某住宅小区3号楼及地下车库工程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本工程为框架剪力墙结构，总建筑面积约36000m²。脚手架采用落地式扣件钢管脚手架（双排），搭设高度12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1.3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三步三跨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5.4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冲压钢脚手板（自重标准值0.30kN/m²），铺2层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连墙件：按三步三跨布置，竖向间距4.5 m、水平间距5.4 m，靠近主节点设置，偏离主节点的距离不大于300mm；连墙件采用可承受拉力和压力的刚性构造。</w:t>
      </w:r>
    </w:p>
    <w:p>
      <w:r>
        <w:t>3.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本工程搭设高度12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1.5 m，立杆纵距 1.8 m，立杆横距 1.3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