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某学校改扩建工程教学楼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本工程为框架剪力墙结构，总建筑面积约36000m²。脚手架采用落地式扣件钢管脚手架（双排），搭设高度12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3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冲压钢脚手板（自重标准值0.30kN/m²），铺1层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装修作业（施工均布荷载标准值 2.0kN/m²）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连墙件：按两步三跨布置，竖向间距3 m、水平间距4.5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本工程搭设高度12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1.5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