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某产业园研发楼项目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本工程为框架剪力墙结构，总建筑面积约36000m²。脚手架采用落地式扣件钢管脚手架（双排），搭设高度56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1.05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两步三跨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3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冲压钢脚手板（自重标准值0.30kN/m²），铺1层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混凝土结构作业（施工均布荷载标准值 3.0kN/m²）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连墙件：按两步三跨布置，竖向间距3 m、水平间距4.5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本工程搭设高度56 m，达到24m及以上，属危险性较大的分部分项工程（建办质〔2018〕31号附件1），已编制本专项施工方案，经施工单位技术负责人审核签字并加盖单位公章、总监理工程师审查签字并加盖执业印章后实施。</w:t>
      </w:r>
    </w:p>
    <w:p>
      <w:pPr>
        <w:pStyle w:val="Heading1"/>
      </w:pPr>
      <w:r>
        <w:t>六、验算书</w:t>
      </w:r>
    </w:p>
    <w:p>
      <w:r>
        <w:t>立杆稳定性验算取值：步距 1.5 m，立杆纵距 1.5 m，立杆横距 1.05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