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某住宅小区3号楼及地下车库工程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2.4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冲压钢脚手板（自重标准值0.30kN/m²），铺2层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混凝土结构作业（施工均布荷载标准值 3.0kN/m²）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2.4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