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某学校改扩建工程教学楼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本工程为框架剪力墙结构，总建筑面积约36000m²。脚手架采用落地式扣件钢管脚手架（双排），搭设高度12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1.3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2.4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三步三跨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5.4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连墙件：按三步三跨布置，竖向间距4.5 m、水平间距5.4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本工程搭设高度12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2.4 m，立杆纵距 1.8 m，立杆横距 1.3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