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某住宅小区3号楼及地下车库工程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本工程为框架剪力墙结构，总建筑面积约36000m²。脚手架采用落地式扣件钢管脚手架（双排），搭设高度18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6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冲压钢脚手板（自重标准值0.30kN/m²），铺1层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装修作业（施工均布荷载标准值 2.0kN/m²）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连墙件：按两步三跨布置，竖向间距6 m、水平间距4.5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本工程搭设高度18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1.5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