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某住宅小区3号楼及地下车库工程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本工程为框架结构，总建筑面积约36000m²。脚手架采用落地式扣件钢管脚手架（双排），搭设高度12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3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冲压钢脚手板（自重标准值0.30kN/m²），铺1层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装修作业（施工均布荷载标准值 2.0kN/m²）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连墙件：按两步三跨布置，竖向间距3 m、水平间距4.5 m，靠近主节点设置，偏离主节点的距离不大于300mm；连墙件采用可承受拉力和压力的刚性构造。</w:t>
      </w:r>
    </w:p>
    <w:p>
      <w:r>
        <w:t>3.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本工程搭设高度12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1.5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