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某学校改扩建工程教学楼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本工程为框架剪力墙结构，总建筑面积约36000m²。脚手架采用落地式扣件钢管脚手架（双排），搭设高度18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1.05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1.8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两步三跨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3.6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冲压钢脚手板（自重标准值0.30kN/m²），铺1层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装修作业（施工均布荷载标准值 2.0kN/m²）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连墙件：按两步三跨布置，竖向间距3.6 m、水平间距4.5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本工程搭设高度18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1.8 m，立杆纵距 1.5 m，立杆横距 1.05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