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某住宅小区3号楼及地下车库工程 落地式扣件钢管脚手架专项施工方案</w:t>
      </w:r>
    </w:p>
    <w:p>
      <w:pPr>
        <w:pStyle w:val="Heading1"/>
      </w:pPr>
      <w:r>
        <w:t>一、工程概况</w:t>
      </w:r>
    </w:p>
    <w:p>
      <w:r>
        <w:t>本工程为框架剪力墙结构，总建筑面积约36000m²。脚手架采用落地式扣件钢管脚手架（双排），搭设高度56 m，随主体结构逐层搭设。</w:t>
      </w:r>
    </w:p>
    <w:p>
      <w:pPr>
        <w:pStyle w:val="Heading1"/>
      </w:pPr>
      <w:r>
        <w:t>二、编制依据</w:t>
      </w:r>
    </w:p>
    <w:p>
      <w:pPr>
        <w:pStyle w:val="ListBullet"/>
      </w:pPr>
      <w:r>
        <w:t>《建筑施工扣件式钢管脚手架安全技术规范》JGJ 130-2011</w:t>
      </w:r>
    </w:p>
    <w:p>
      <w:pPr>
        <w:pStyle w:val="ListBullet"/>
      </w:pPr>
      <w:r>
        <w:t>《危险性较大的分部分项工程安全管理规定》（住房和城乡建设部令第37号）</w:t>
      </w:r>
    </w:p>
    <w:p>
      <w:pPr>
        <w:pStyle w:val="ListBullet"/>
      </w:pPr>
      <w:r>
        <w:t>《住房城乡建设部办公厅关于实施〈危险性较大的分部分项工程安全管理规定〉有关问题的通知》（建办质〔2018〕31号）</w:t>
      </w:r>
    </w:p>
    <w:p>
      <w:pPr>
        <w:pStyle w:val="ListBullet"/>
      </w:pPr>
      <w:r>
        <w:t>本工程施工图设计文件及施工组织设计</w:t>
      </w:r>
    </w:p>
    <w:p>
      <w:pPr>
        <w:pStyle w:val="Heading1"/>
      </w:pPr>
      <w:r>
        <w:t>三、搭设参数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取值</w:t>
            </w:r>
          </w:p>
        </w:tc>
      </w:tr>
      <w:tr>
        <w:tc>
          <w:tcPr>
            <w:tcW w:type="dxa" w:w="4320"/>
          </w:tcPr>
          <w:p>
            <w:r>
              <w:t>立杆横距 lb</w:t>
            </w:r>
          </w:p>
        </w:tc>
        <w:tc>
          <w:tcPr>
            <w:tcW w:type="dxa" w:w="4320"/>
          </w:tcPr>
          <w:p>
            <w:r>
              <w:t>1.05 m</w:t>
            </w:r>
          </w:p>
        </w:tc>
      </w:tr>
      <w:tr>
        <w:tc>
          <w:tcPr>
            <w:tcW w:type="dxa" w:w="4320"/>
          </w:tcPr>
          <w:p>
            <w:r>
              <w:t>立杆纵距 la</w:t>
            </w:r>
          </w:p>
        </w:tc>
        <w:tc>
          <w:tcPr>
            <w:tcW w:type="dxa" w:w="4320"/>
          </w:tcPr>
          <w:p>
            <w:r>
              <w:t>1.5 m</w:t>
            </w:r>
          </w:p>
        </w:tc>
      </w:tr>
      <w:tr>
        <w:tc>
          <w:tcPr>
            <w:tcW w:type="dxa" w:w="4320"/>
          </w:tcPr>
          <w:p>
            <w:r>
              <w:t>步距 h</w:t>
            </w:r>
          </w:p>
        </w:tc>
        <w:tc>
          <w:tcPr>
            <w:tcW w:type="dxa" w:w="4320"/>
          </w:tcPr>
          <w:p>
            <w:r>
              <w:t>1.8 m</w:t>
            </w:r>
          </w:p>
        </w:tc>
      </w:tr>
      <w:tr>
        <w:tc>
          <w:tcPr>
            <w:tcW w:type="dxa" w:w="4320"/>
          </w:tcPr>
          <w:p>
            <w:r>
              <w:t>连墙件布置</w:t>
            </w:r>
          </w:p>
        </w:tc>
        <w:tc>
          <w:tcPr>
            <w:tcW w:type="dxa" w:w="4320"/>
          </w:tcPr>
          <w:p>
            <w:r>
              <w:t>两步三跨</w:t>
            </w:r>
          </w:p>
        </w:tc>
      </w:tr>
      <w:tr>
        <w:tc>
          <w:tcPr>
            <w:tcW w:type="dxa" w:w="4320"/>
          </w:tcPr>
          <w:p>
            <w:r>
              <w:t>连墙件竖向间距</w:t>
            </w:r>
          </w:p>
        </w:tc>
        <w:tc>
          <w:tcPr>
            <w:tcW w:type="dxa" w:w="4320"/>
          </w:tcPr>
          <w:p>
            <w:r>
              <w:t>3.6 m</w:t>
            </w:r>
          </w:p>
        </w:tc>
      </w:tr>
      <w:tr>
        <w:tc>
          <w:tcPr>
            <w:tcW w:type="dxa" w:w="4320"/>
          </w:tcPr>
          <w:p>
            <w:r>
              <w:t>连墙件水平间距</w:t>
            </w:r>
          </w:p>
        </w:tc>
        <w:tc>
          <w:tcPr>
            <w:tcW w:type="dxa" w:w="4320"/>
          </w:tcPr>
          <w:p>
            <w:r>
              <w:t>4.5 m</w:t>
            </w:r>
          </w:p>
        </w:tc>
      </w:tr>
      <w:tr>
        <w:tc>
          <w:tcPr>
            <w:tcW w:type="dxa" w:w="4320"/>
          </w:tcPr>
          <w:p>
            <w:r>
              <w:t>钢管规格</w:t>
            </w:r>
          </w:p>
        </w:tc>
        <w:tc>
          <w:tcPr>
            <w:tcW w:type="dxa" w:w="4320"/>
          </w:tcPr>
          <w:p>
            <w:r>
              <w:t>φ48.3×3.6（Q235A）</w:t>
            </w:r>
          </w:p>
        </w:tc>
      </w:tr>
      <w:tr>
        <w:tc>
          <w:tcPr>
            <w:tcW w:type="dxa" w:w="4320"/>
          </w:tcPr>
          <w:p>
            <w:r>
              <w:t>脚手板</w:t>
            </w:r>
          </w:p>
        </w:tc>
        <w:tc>
          <w:tcPr>
            <w:tcW w:type="dxa" w:w="4320"/>
          </w:tcPr>
          <w:p>
            <w:r>
              <w:t>冲压钢脚手板（自重标准值0.30kN/m²），铺1层</w:t>
            </w:r>
          </w:p>
        </w:tc>
      </w:tr>
      <w:tr>
        <w:tc>
          <w:tcPr>
            <w:tcW w:type="dxa" w:w="4320"/>
          </w:tcPr>
          <w:p>
            <w:r>
              <w:t>施工荷载</w:t>
            </w:r>
          </w:p>
        </w:tc>
        <w:tc>
          <w:tcPr>
            <w:tcW w:type="dxa" w:w="4320"/>
          </w:tcPr>
          <w:p>
            <w:r>
              <w:t>混凝土结构作业（施工均布荷载标准值 3.0kN/m²）</w:t>
            </w:r>
          </w:p>
        </w:tc>
      </w:tr>
    </w:tbl>
    <w:p>
      <w:pPr>
        <w:pStyle w:val="Heading1"/>
      </w:pPr>
      <w:r>
        <w:t>四、构造措施</w:t>
      </w:r>
    </w:p>
    <w:p>
      <w:r>
        <w:t>1. 立杆基础：基础平整夯实，设置垫板与底座，立杆底部设置纵横向扫地杆，扫地杆固定在距底座上皮不大于200mm处的立杆上。</w:t>
      </w:r>
    </w:p>
    <w:p>
      <w:r>
        <w:t>2. 连墙件：按两步三跨布置，竖向间距3.6 m、水平间距4.5 m，靠近主节点设置，偏离主节点的距离不大于300mm；连墙件采用可承受拉力和压力的刚性构造。</w:t>
      </w:r>
    </w:p>
    <w:p>
      <w:r>
        <w:t>3. 剪刀撑：每道剪刀撑跨越立杆5～7根，宽度不小于4跨且不小于6m，斜杆与地面倾角45°～60°；本工程搭设高度24m及以上（若适用），外侧全立面连续设置剪刀撑，由底至顶连续布置。</w:t>
      </w:r>
    </w:p>
    <w:p>
      <w:r>
        <w:t>4. 防护：栏杆与挡脚板齐全，密目式安全立网全封闭围护。</w:t>
      </w:r>
    </w:p>
    <w:p>
      <w:pPr>
        <w:pStyle w:val="Heading1"/>
      </w:pPr>
      <w:r>
        <w:t>五、危大工程管理</w:t>
      </w:r>
    </w:p>
    <w:p>
      <w:r>
        <w:t>本工程搭设高度56 m，达到24m及以上，属危险性较大的分部分项工程（建办质〔2018〕31号附件1），已编制本专项施工方案，经施工单位技术负责人审核签字并加盖单位公章、总监理工程师审查签字并加盖执业印章后实施。</w:t>
      </w:r>
    </w:p>
    <w:p>
      <w:pPr>
        <w:pStyle w:val="Heading1"/>
      </w:pPr>
      <w:r>
        <w:t>六、验算书</w:t>
      </w:r>
    </w:p>
    <w:p>
      <w:r>
        <w:t>立杆稳定性验算取值：步距 1.8 m，立杆纵距 1.5 m，立杆横距 1.05 m。</w:t>
      </w:r>
    </w:p>
    <w:p>
      <w:r>
        <w:t>钢管截面特性按JGJ 130-2011附录B表B.0.1（A=5.06cm²、i=1.59cm、W=5.26cm³），钢材强度设计值f=205N/mm²（表5.1.6）。</w:t>
      </w:r>
    </w:p>
    <w:p>
      <w:r>
        <w:t>经计算，立杆稳定性满足规范要求（计算过程详见计算书附页）。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专项施工方案</dc:title>
  <dc:creator>sfc-synth</dc:creator>
  <cp:lastModifiedBy>sfc-synth</cp:lastModifiedBy>
  <dcterms:created xsi:type="dcterms:W3CDTF">2026-01-01T00:00:00Z</dcterms:created>
  <dcterms:modified xsi:type="dcterms:W3CDTF">2026-01-01T00:00:00Z</dcterms:modified>
</cp:coreProperties>
</file>