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某住宅小区3号楼及地下车库工程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本工程为框架剪力墙结构，总建筑面积约36000m²。脚手架采用落地式扣件钢管脚手架（双排），搭设高度18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1.05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2.4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两步三跨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3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冲压钢脚手板（自重标准值0.30kN/m²），铺2层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混凝土结构作业（施工均布荷载标准值 3.0kN/m²）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连墙件：按两步三跨布置，竖向间距3 m、水平间距4.5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本工程搭设高度18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2.4 m，立杆纵距 1.5 m，立杆横距 1.05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