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某学校改扩建工程教学楼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本工程为框架剪力墙结构，总建筑面积约36000m²。脚手架采用落地式扣件钢管脚手架（双排），搭设高度12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1.3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1.8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2.4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三步三跨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5.4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冲压钢脚手板（自重标准值0.30kN/m²），铺1层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装修作业（施工均布荷载标准值 2.0kN/m²）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连墙件：按三步三跨布置，竖向间距4.5 m、水平间距5.4 m，靠近主节点设置，偏离主节点的距离不大于300mm；连墙件采用可承受拉力和压力的刚性构造。</w:t>
      </w:r>
    </w:p>
    <w:p>
      <w:r>
        <w:t>3. 剪刀撑：每道剪刀撑跨越立杆5～7根，宽度不小于4跨且不小于6m，斜杆与地面倾角45°～60°；本工程搭设高度24m及以上（若适用），外侧全立面连续设置剪刀撑，由底至顶连续布置。</w:t>
      </w:r>
    </w:p>
    <w:p>
      <w:r>
        <w:t>4.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本工程搭设高度12 m，未达到24m，不属危险性较大的分部分项工程，按常规安全管理执行。</w:t>
      </w:r>
    </w:p>
    <w:p>
      <w:pPr>
        <w:pStyle w:val="Heading1"/>
      </w:pPr>
      <w:r>
        <w:t>六、验算书</w:t>
      </w:r>
    </w:p>
    <w:p>
      <w:r>
        <w:t>立杆稳定性验算取值：步距 2.4 m，立杆纵距 1.8 m，立杆横距 1.3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