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本工程钢构件材质为Q235B，质量等级C级，进场时按批复验。</w:t>
      </w:r>
    </w:p>
    <w:p>
      <w:r>
        <w:t xml:space="preserve">二、焊接</w:t>
      </w:r>
    </w:p>
    <w:p>
      <w:r>
        <w:t xml:space="preserve">本工程对接焊缝质量等级取二级，焊后按相应等级进行无损检测；角焊缝最小焊脚8mm。</w:t>
      </w:r>
    </w:p>
    <w:p>
      <w:r>
        <w:t xml:space="preserve">三、螺栓连接</w:t>
      </w:r>
    </w:p>
    <w:p>
      <w:r>
        <w:t xml:space="preserve">主受力连接采用10.9级高强度螺栓摩擦型连接，摩擦面处理为喷砂后涂富锌漆，抗滑移系数取0.45。</w:t>
      </w:r>
    </w:p>
    <w:p>
      <w:r>
        <w:t xml:space="preserve">四、涂装与防火</w:t>
      </w:r>
    </w:p>
    <w:p>
      <w:r>
        <w:t xml:space="preserve">表面除锈后采用两道环氧富锌底漆加两道面漆；防火涂层厚度应满足2.00h 耐火极限要求。</w:t>
      </w:r>
    </w:p>
    <w:p>
      <w:r>
        <w:t xml:space="preserve">五、构造与安装要求</w:t>
      </w:r>
    </w:p>
    <w:p>
      <w:r>
        <w:t xml:space="preserve">受压构件长细比按规范限值控制，支撑系统与主框架的连接应满足构造要求。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