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钢结构设计说明（合成样例，非真实工程）</w:t>
      </w:r>
    </w:p>
    <w:p>
      <w:r>
        <w:t xml:space="preserve">一、钢材</w:t>
      </w:r>
    </w:p>
    <w:p>
      <w:r>
        <w:t xml:space="preserve">承重钢结构钢材采用Q420D，质量等级B级，焊接材料应与主体材质相匹配。</w:t>
      </w:r>
    </w:p>
    <w:p>
      <w:r>
        <w:t xml:space="preserve">二、焊接</w:t>
      </w:r>
    </w:p>
    <w:p>
      <w:r>
        <w:t xml:space="preserve">对接焊缝中受拉者按二级检验，受压及受剪者按三级检验；角焊缝焊脚取6mm，焊缝长度满足构造要求。</w:t>
      </w:r>
    </w:p>
    <w:p>
      <w:r>
        <w:t xml:space="preserve">三、螺栓连接</w:t>
      </w:r>
    </w:p>
    <w:p>
      <w:r>
        <w:t xml:space="preserve">高强螺栓摩擦型连接的性能等级为8.8，摩擦面手工钢丝刷清理浮锈，设计抗滑移系数0.45。</w:t>
      </w:r>
    </w:p>
    <w:p>
      <w:r>
        <w:t xml:space="preserve">四、涂装与防火</w:t>
      </w:r>
    </w:p>
    <w:p>
      <w:r>
        <w:t xml:space="preserve">表面除锈后采用无机富锌底漆加环氧中间漆加面漆；防火涂层厚度应满足2.00h 耐火极限要求。</w:t>
      </w:r>
    </w:p>
    <w:p>
      <w:r>
        <w:t xml:space="preserve">五、构造与安装要求</w:t>
      </w:r>
    </w:p>
    <w:p>
      <w:r>
        <w:t xml:space="preserve">受压构件长细比按规范限值控制，支撑系统与主框架的连接应满足构造要求。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imSun" w:eastAsia="SimSun" w:hAnsi="SimSun"/>
        <w:sz w:val="21"/>
      </w:rPr>
    </w:rPrDefault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sdc-synth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SYNTH_PLACEHOLDER</dc:creator>
  <cp:lastModifiedBy>SYNTH_PLACEHOLDER</cp:lastModifiedBy>
  <dcterms:created xsi:type="dcterms:W3CDTF">1970-01-01T00:00:00Z</dcterms:created>
  <dcterms:modified xsi:type="dcterms:W3CDTF">1970-01-01T00:00:00Z</dcterms:modified>
</cp:coreProperties>
</file>