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r>
        <w:t xml:space="preserve">钢结构设计说明（合成样例，非真实工程）</w:t>
      </w:r>
    </w:p>
    <w:p>
      <w:r>
        <w:t xml:space="preserve">一、钢材</w:t>
      </w:r>
    </w:p>
    <w:p>
      <w:r>
        <w:t xml:space="preserve">本工程钢构件材质为Q390C，质量等级D级，进场时按批复验。</w:t>
      </w:r>
    </w:p>
    <w:p>
      <w:r>
        <w:t xml:space="preserve">二、焊接</w:t>
      </w:r>
    </w:p>
    <w:p>
      <w:r>
        <w:t xml:space="preserve">本工程对接焊缝质量等级取二级，焊后按相应等级进行无损检测；角焊缝最小焊脚10mm。</w:t>
      </w:r>
    </w:p>
    <w:p>
      <w:r>
        <w:t xml:space="preserve">三、螺栓连接</w:t>
      </w:r>
    </w:p>
    <w:p>
      <w:r>
        <w:t xml:space="preserve">高强螺栓摩擦型连接的性能等级为8.8，摩擦面表面自然生红锈，设计抗滑移系数0.30。</w:t>
      </w:r>
    </w:p>
    <w:p>
      <w:r>
        <w:t xml:space="preserve">四、涂装与防火</w:t>
      </w:r>
    </w:p>
    <w:p>
      <w:r>
        <w:t xml:space="preserve">表面除锈后采用热浸镀锌加两道面漆；防火涂层厚度应满足2.00h 耐火极限要求。</w:t>
      </w:r>
    </w:p>
    <w:p>
      <w:r>
        <w:t xml:space="preserve">五、构造与安装要求</w:t>
      </w:r>
    </w:p>
    <w:p>
      <w:r>
        <w:t xml:space="preserve">构件运输与拼装不得损伤摩擦面，摩擦面处理后应保持表面自然生红锈状态。</w:t>
      </w:r>
    </w:p>
    <w:sectPr>
      <w:pgSz w:w="11906" w:h="1683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imSun" w:eastAsia="SimSun" w:hAnsi="SimSun"/>
        <w:sz w:val="21"/>
      </w:rPr>
    </w:rPrDefault>
  </w:docDefaults>
  <w:style w:type="paragraph" w:styleId="Normal" w:default="1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sdc-synth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SYNTH_PLACEHOLDER</dc:creator>
  <cp:lastModifiedBy>SYNTH_PLACEHOLDER</cp:lastModifiedBy>
  <dcterms:created xsi:type="dcterms:W3CDTF">1970-01-01T00:00:00Z</dcterms:created>
  <dcterms:modified xsi:type="dcterms:W3CDTF">1970-01-01T00:00:00Z</dcterms:modified>
</cp:coreProperties>
</file>