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主体结构选用Q420D钢（质量等级B），其强度设计值按现行国家标准取值。</w:t>
      </w:r>
    </w:p>
    <w:p>
      <w:r>
        <w:t xml:space="preserve">二、焊接</w:t>
      </w:r>
    </w:p>
    <w:p>
      <w:r>
        <w:t xml:space="preserve">对接焊缝中受拉者按二级检验，受压及受剪者按三级检验；角焊缝焊脚取6mm，焊缝长度满足构造要求。</w:t>
      </w:r>
    </w:p>
    <w:p>
      <w:r>
        <w:t xml:space="preserve">三、螺栓连接</w:t>
      </w:r>
    </w:p>
    <w:p>
      <w:r>
        <w:t xml:space="preserve">主受力连接采用8.8级高强度螺栓摩擦型连接，摩擦面处理为手工钢丝刷清理浮锈，抗滑移系数取0.30。</w:t>
      </w:r>
    </w:p>
    <w:p>
      <w:r>
        <w:t xml:space="preserve">四、涂装与防火</w:t>
      </w:r>
    </w:p>
    <w:p>
      <w:r>
        <w:t xml:space="preserve">涂装体系为两道环氧富锌底漆加两道面漆，承重构件的防火保护按耐火极限1.00h 设计。</w:t>
      </w:r>
    </w:p>
    <w:p>
      <w:r>
        <w:t xml:space="preserve">五、构造与安装要求</w:t>
      </w:r>
    </w:p>
    <w:p>
      <w:r>
        <w:t xml:space="preserve">受压构件长细比按规范限值控制，支撑系统与主框架的连接应满足构造要求。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