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本工程钢构件材质为Q420D，质量等级C级，进场时按批复验。</w:t>
      </w:r>
    </w:p>
    <w:p>
      <w:r>
        <w:t xml:space="preserve">二、焊接</w:t>
      </w:r>
    </w:p>
    <w:p>
      <w:r>
        <w:t xml:space="preserve">对接焊缝中受拉者按一级检验，受压及受剪者按三级检验；角焊缝焊脚取4mm，焊缝长度满足构造要求。</w:t>
      </w:r>
    </w:p>
    <w:p>
      <w:r>
        <w:t xml:space="preserve">三、螺栓连接</w:t>
      </w:r>
    </w:p>
    <w:p>
      <w:r>
        <w:t xml:space="preserve">主受力连接采用8.8级高强度螺栓摩擦型连接，摩擦面处理为喷砂后涂富锌漆，抗滑移系数取0.35。</w:t>
      </w:r>
    </w:p>
    <w:p>
      <w:r>
        <w:t xml:space="preserve">四、涂装与防火</w:t>
      </w:r>
    </w:p>
    <w:p>
      <w:r>
        <w:t xml:space="preserve">钢构件防腐按两道环氧富锌底漆加两道面漆体系施工；室外及隐蔽部位构件耐火极限不低于1.50h。</w:t>
      </w:r>
    </w:p>
    <w:p>
      <w:r>
        <w:t xml:space="preserve">五、构造与安装要求</w:t>
      </w:r>
    </w:p>
    <w:p>
      <w:r>
        <w:t xml:space="preserve">构件运输与拼装不得损伤摩擦面，摩擦面处理后应保持喷砂后涂富锌漆状态。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