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本工程钢构件材质为Q235B，质量等级A级，进场时按批复验。</w:t>
      </w:r>
    </w:p>
    <w:p>
      <w:r>
        <w:t xml:space="preserve">二、焊接</w:t>
      </w:r>
    </w:p>
    <w:p>
      <w:r>
        <w:t xml:space="preserve">本工程对接焊缝质量等级取二级，焊后按相应等级进行无损检测；角焊缝最小焊脚10mm。</w:t>
      </w:r>
    </w:p>
    <w:p>
      <w:r>
        <w:t xml:space="preserve">三、螺栓连接</w:t>
      </w:r>
    </w:p>
    <w:p>
      <w:r>
        <w:t xml:space="preserve">主受力连接采用4.6级螺栓，普通C 级螺栓施工按常规要求。</w:t>
      </w:r>
    </w:p>
    <w:p>
      <w:r>
        <w:t xml:space="preserve">四、涂装与防火</w:t>
      </w:r>
    </w:p>
    <w:p>
      <w:r>
        <w:t xml:space="preserve">涂装体系为热浸镀锌加两道面漆，承重构件的防火保护按耐火极限1.00h 设计。</w:t>
      </w:r>
    </w:p>
    <w:p>
      <w:r>
        <w:t xml:space="preserve">五、构造与安装要求</w:t>
      </w:r>
    </w:p>
    <w:p>
      <w:r>
        <w:t xml:space="preserve">构件运输与拼装不得损伤摩擦面，摩擦面处理后应保持手工钢丝刷清理浮锈状态。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