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主体结构选用Q390C钢（质量等级C），其强度设计值按现行国家标准取值。</w:t>
      </w:r>
    </w:p>
    <w:p>
      <w:r>
        <w:t xml:space="preserve">二、焊接</w:t>
      </w:r>
    </w:p>
    <w:p>
      <w:r>
        <w:t xml:space="preserve">承重结构对接焊缝应保证焊接质量，焊缝检验按相关标准执行。</w:t>
      </w:r>
    </w:p>
    <w:p>
      <w:r>
        <w:t xml:space="preserve">三、螺栓连接</w:t>
      </w:r>
    </w:p>
    <w:p>
      <w:r>
        <w:t xml:space="preserve">主受力连接采用8.8级高强度螺栓摩擦型连接，摩擦面处理为手工钢丝刷清理浮锈，抗滑移系数取0.40。</w:t>
      </w:r>
    </w:p>
    <w:p>
      <w:r>
        <w:t xml:space="preserve">四、涂装与防火</w:t>
      </w:r>
    </w:p>
    <w:p>
      <w:r>
        <w:t xml:space="preserve">涂装体系为热浸镀锌加两道面漆，承重构件的防火保护按耐火极限1.00h 设计。</w:t>
      </w:r>
    </w:p>
    <w:p>
      <w:r>
        <w:t xml:space="preserve">五、构造与安装要求</w:t>
      </w:r>
    </w:p>
    <w:p>
      <w:r>
        <w:t xml:space="preserve">安装阶段应保证构件定位与临时支撑，焊缝与螺栓施工按前述要求执行。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