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深基坑土方开挖及支护专项施工方案（合成样例）</w:t>
      </w:r>
    </w:p>
    <w:p>
      <w:pPr>
        <w:pStyle w:val="Heading1"/>
      </w:pPr>
      <w:r>
        <w:t>一、工程概况</w:t>
      </w:r>
    </w:p>
    <w:p>
      <w:r>
        <w:t>本工程为合成样例项目 G0029（虚构，仅用于测试），基坑采用钢板桩+内支撑支护形式。</w:t>
      </w:r>
    </w:p>
    <w:p>
      <w:r>
        <w:t>基坑开挖深度为660m，基坑侧壁安全等级为二级。</w:t>
      </w:r>
    </w:p>
    <w:p>
      <w:pPr>
        <w:pStyle w:val="Heading1"/>
      </w:pPr>
      <w:r>
        <w:t>二、编制依据</w:t>
      </w:r>
    </w:p>
    <w:p>
      <w:r>
        <w:t>1.《危险性较大的分部分项工程安全管理规定》（住建部令第37号）；</w:t>
      </w:r>
    </w:p>
    <w:p>
      <w:r>
        <w:t>2.《关于实施〈危险性较大的分部分项工程安全管理规定〉有关问题的通知》（建办质〔2018〕31号）；</w:t>
      </w:r>
    </w:p>
    <w:p>
      <w:r>
        <w:t>3.《建筑基坑支护技术规程》JGJ 120-2012；</w:t>
      </w:r>
    </w:p>
    <w:p>
      <w:r>
        <w:t>4.《建筑基坑工程监测技术标准》GB 50497-2019。</w:t>
      </w:r>
    </w:p>
    <w:p>
      <w:pPr>
        <w:pStyle w:val="Heading1"/>
      </w:pPr>
      <w:r>
        <w:t>三、施工计划</w:t>
      </w:r>
    </w:p>
    <w:p>
      <w:r>
        <w:t>计划工期50天，分2段组织开挖。</w:t>
      </w:r>
    </w:p>
    <w:p>
      <w:pPr>
        <w:pStyle w:val="Heading1"/>
      </w:pPr>
      <w:r>
        <w:t>四、施工工艺技术</w:t>
      </w:r>
    </w:p>
    <w:p>
      <w:r>
        <w:t>4.1 土方开挖</w:t>
      </w:r>
    </w:p>
    <w:p>
      <w:r>
        <w:t>土方开挖分层分段进行，每层开挖深度不超过1.5m。</w:t>
      </w:r>
    </w:p>
    <w:p>
      <w:r>
        <w:t>4.2 支护施工</w:t>
      </w:r>
    </w:p>
    <w:p>
      <w:r>
        <w:t>支护采用钢板桩+内支撑工艺，随挖随支，严禁超挖。</w:t>
      </w:r>
    </w:p>
    <w:p>
      <w:pPr>
        <w:pStyle w:val="Heading1"/>
      </w:pPr>
      <w:r>
        <w:t>五、施工安全保证措施</w:t>
      </w:r>
    </w:p>
    <w:p>
      <w:r>
        <w:t>5.1 组织保障</w:t>
      </w:r>
    </w:p>
    <w:p>
      <w:r>
        <w:t>成立以项目经理为组长的安全领导小组，责任到人。</w:t>
      </w:r>
    </w:p>
    <w:p>
      <w:r>
        <w:t>5.2 监测方案</w:t>
      </w:r>
    </w:p>
    <w:p>
      <w:r>
        <w:t>支护结构顶部水平位移控制值为22mm。</w:t>
      </w:r>
    </w:p>
    <w:p>
      <w:r>
        <w:t>开挖至坑底期间，监测频率为2次/d。</w:t>
      </w:r>
    </w:p>
    <w:p>
      <w:pPr>
        <w:pStyle w:val="Heading1"/>
      </w:pPr>
      <w:r>
        <w:t>六、施工管理及作业人员配备</w:t>
      </w:r>
    </w:p>
    <w:p>
      <w:r>
        <w:t>现场配备专职安全员2名，特种作业人员持证上岗。</w:t>
      </w:r>
    </w:p>
    <w:p>
      <w:pPr>
        <w:pStyle w:val="Heading1"/>
      </w:pPr>
      <w:r>
        <w:t>七、验收要求</w:t>
      </w:r>
    </w:p>
    <w:p>
      <w:r>
        <w:t>支护结构验收执行JGJ 120-2012相关规定，验收合格后方可进入下道工序。</w:t>
      </w:r>
    </w:p>
    <w:p>
      <w:r>
        <w:t>本工程基坑属超过一定规模的危大工程，已按规定组织专家论证，论证意见已落实。</w:t>
      </w:r>
    </w:p>
    <w:p>
      <w:pPr>
        <w:pStyle w:val="Heading1"/>
      </w:pPr>
      <w:r>
        <w:t>九、计算书及相关图纸</w:t>
      </w:r>
    </w:p>
    <w:p>
      <w:r>
        <w:t>支护结构计算书及基坑支护平面图见附件（合成样例略）。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