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G0021（虚构，仅用于测试），基坑采用放坡+土钉墙支护形式。</w:t>
      </w:r>
    </w:p>
    <w:p>
      <w:r>
        <w:t>基坑开挖深度为8.3m，基坑侧壁安全等级为二级。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计划工期30天，分3段组织开挖。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土方开挖分层分段进行，每层开挖深度不超过2m。</w:t>
      </w:r>
    </w:p>
    <w:p>
      <w:r>
        <w:t>4.2 支护施工</w:t>
      </w:r>
    </w:p>
    <w:p>
      <w:r>
        <w:t>支护采用放坡+土钉墙工艺，随挖随支，严禁超挖。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支护结构顶部水平位移控制值为35mm。</w:t>
      </w:r>
    </w:p>
    <w:p>
      <w:r>
        <w:t>开挖至坑底期间，监测频率为0.5次/d。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r>
        <w:t>本工程基坑属超过一定规模的危大工程，已按规定组织专家论证，论证意见已落实。</w:t>
      </w:r>
    </w:p>
    <w:p>
      <w:pPr>
        <w:pStyle w:val="Heading1"/>
      </w:pPr>
      <w:r>
        <w:t>八、应急处置措施</w:t>
      </w:r>
    </w:p>
    <w:p>
      <w:r>
        <w:t>编制应急预案，配备应急物资，定期组织演练。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