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G0024（虚构，仅用于测试），基坑采用桩锚支护支护形式。</w:t>
      </w:r>
    </w:p>
    <w:p>
      <w:r>
        <w:t>基坑开挖深度为730m，基坑侧壁安全等级为二级。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计划工期64天，分2段组织开挖。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土方开挖分层分段进行，每层开挖深度不超过1.5m。</w:t>
      </w:r>
    </w:p>
    <w:p>
      <w:r>
        <w:t>4.2 支护施工</w:t>
      </w:r>
    </w:p>
    <w:p>
      <w:r>
        <w:t>支护采用桩锚支护工艺，随挖随支，严禁超挖。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支护结构顶部水平位移控制值为25mm。</w:t>
      </w:r>
    </w:p>
    <w:p>
      <w:r>
        <w:t>开挖至坑底期间，监测频率为2次/d。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r>
        <w:t>本工程基坑属超过一定规模的危大工程，已按规定组织专家论证，论证意见已落实。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