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面向新鲜组织可靠形态定量的质量引导紫外光声显微成像</w:t>
      </w:r>
    </w:p>
    <w:p>
      <w:pPr>
        <w:pStyle w:val="Heading1"/>
      </w:pPr>
      <w:r>
        <w:t>Background &amp; Gap</w:t>
      </w:r>
    </w:p>
    <w:p>
      <w:pPr>
        <w:widowControl/>
      </w:pPr>
      <w:r>
        <w:t>免染色、免薄切片的组织成像需要同时满足速度与形态测量可靠性。Cao 等的并行 UV-PAM 已通过八光束扫描实现 1.3 μm 分辨率及 4.2 min/cm² 的采集速度，并探索针形光束扩大景深[1]。另一项工作结合轮廓扫描与深度学习，在固定骨组织中展示了虚拟 H&amp;E 成像及形态分析[2]。这些成果提供了技术基础，但并不意味着高速成像下的核计数和核面积在不同组织条件下均已可靠。</w:t>
      </w:r>
    </w:p>
    <w:p>
      <w:pPr>
        <w:widowControl/>
      </w:pPr>
      <w:r>
        <w:t>拟研究的缺口是：有限景深、信号不均匀及厚组织的轴向重叠如何影响核形态定量，又能否用质量反馈减少无效采集？既有并行系统还存在轴向信息不足和光束整形能量损耗等限制[1]。本研究将把扫描速度与结构保真度联合评价，以新鲜离体组织为验证对象；乳腺组织作为具备样本条件后的应用场景。</w:t>
      </w:r>
    </w:p>
    <w:p>
      <w:pPr>
        <w:pStyle w:val="Heading1"/>
      </w:pPr>
      <w:r>
        <w:t>Objective &amp; Hypothesis</w:t>
      </w:r>
    </w:p>
    <w:p>
      <w:pPr>
        <w:widowControl/>
      </w:pPr>
      <w:r>
        <w:t>本研究拟开发质量引导的 UV-PAM 采集与核形态分析方法。中心假设是：通过识别失焦、低信噪比及采集异常区域并选择性补扫，可以相对同一硬件上的均匀高质量参考扫描减少至少 30% 的采集及处理总时间，同时将同一组织区域的核数量密度和中位核面积相对误差控制在 10% 以内。上述数值为待预实验检验的设计目标；正式验证前将依据参考重复性锁定阈值，并保留未达标结果。</w:t>
      </w:r>
    </w:p>
    <w:p>
      <w:pPr>
        <w:pStyle w:val="Heading1"/>
      </w:pPr>
      <w:r>
        <w:t>Preparation / Preliminary Work</w:t>
      </w:r>
    </w:p>
    <w:p>
      <w:pPr>
        <w:widowControl/>
      </w:pPr>
      <w:r>
        <w:t>我目前在 Rui Cao 实验室开展与 LabVIEW 相关的 PA 系统项目，拟以该项目作为扫描控制与数据采集的实施基础。个人已完成的模块、测试记录及测量结果将在提交前据实补充；上述文献结果属于团队既有成果。</w:t>
      </w:r>
    </w:p>
    <w:p>
      <w:pPr>
        <w:pStyle w:val="Heading1"/>
      </w:pPr>
      <w:r>
        <w:t>Aim 1：建立质量反馈驱动的采集方法</w:t>
      </w:r>
    </w:p>
    <w:p>
      <w:pPr>
        <w:widowControl/>
      </w:pPr>
      <w:r>
        <w:t>依据：一次扫描速度无法反映失焦和补扫造成的实际开销。方法：校准触发、运动和采集时序，在已知尺寸的吸收体模与不同表面起伏的组织上，测量分辨率、CNR、定位误差及耗时；利用实测质量指标标记待复核区域，在 LabVIEW 中执行局部调焦或增加平均次数。与均匀高质量扫描、固定快速扫描及只有质控而无补扫的方案对照，控制视野、采样间距和照射条件。</w:t>
      </w:r>
    </w:p>
    <w:p>
      <w:pPr>
        <w:widowControl/>
      </w:pPr>
      <w:r>
        <w:t>预期：获得质量合格面积随总时间变化的曲线，检验速度收益是否来自有效补扫。风险：低细胞密度可能被误判为低质量；将结合体模标定、信号及焦点评估，并抽查未标记区域。若在线反馈过慢，先采用分块采集后补扫。</w:t>
      </w:r>
    </w:p>
    <w:p>
      <w:pPr>
        <w:spacing w:after="0" w:line="240" w:lineRule="auto"/>
      </w:pPr>
      <w:r>
        <w:drawing>
          <wp:inline xmlns:a="http://schemas.openxmlformats.org/drawingml/2006/main" xmlns:pic="http://schemas.openxmlformats.org/drawingml/2006/picture">
            <wp:extent cx="5943600" cy="601980"/>
            <wp:docPr id="1" name="Picture 1"/>
            <wp:cNvGraphicFramePr>
              <a:graphicFrameLocks noChangeAspect="1"/>
            </wp:cNvGraphicFramePr>
            <a:graphic>
              <a:graphicData uri="http://schemas.openxmlformats.org/drawingml/2006/picture">
                <pic:pic>
                  <pic:nvPicPr>
                    <pic:cNvPr id="0" name="research_workflow.png"/>
                    <pic:cNvPicPr/>
                  </pic:nvPicPr>
                  <pic:blipFill>
                    <a:blip r:embed="rId9"/>
                    <a:stretch>
                      <a:fillRect/>
                    </a:stretch>
                  </pic:blipFill>
                  <pic:spPr>
                    <a:xfrm>
                      <a:off x="0" y="0"/>
                      <a:ext cx="5943600" cy="601980"/>
                    </a:xfrm>
                    <a:prstGeom prst="rect"/>
                  </pic:spPr>
                </pic:pic>
              </a:graphicData>
            </a:graphic>
          </wp:inline>
        </w:drawing>
      </w:r>
    </w:p>
    <w:p>
      <w:pPr>
        <w:spacing w:line="240" w:lineRule="exact"/>
      </w:pPr>
      <w:r>
        <w:rPr>
          <w:sz w:val="18"/>
        </w:rPr>
        <w:t>图 1｜拟议研究流程（原创示意）；已有成像技术基础见文献 [1,2]。</w:t>
      </w:r>
    </w:p>
    <w:p>
      <w:pPr>
        <w:pStyle w:val="Heading1"/>
        <w:pageBreakBefore/>
      </w:pPr>
      <w:r>
        <w:t>Aim 2：量化采集质量对核形态测量的影响</w:t>
      </w:r>
    </w:p>
    <w:p>
      <w:pPr>
        <w:widowControl/>
      </w:pPr>
      <w:r>
        <w:t>依据：图像清晰或虚拟染色逼真不等于核结构准确。方法：以原始 PA 图像的人工核标注建立分割基线，测量核检出率、误检率、数量密度及面积分布；比较不同噪声、失焦和补扫条件，检验质量指标能否预测定量误差。如引入虚拟染色，则单独检查是否新增、遗漏或改变核结构，避免把生成图像当作真值。</w:t>
      </w:r>
    </w:p>
    <w:p>
      <w:pPr>
        <w:widowControl/>
      </w:pPr>
      <w:r>
        <w:t>预期：形成带质量标记的核形态图谱，识别可可靠测量的范围及失败条件。风险：厚组织核重叠会限制二维分割；将采用分层体模与薄层样品区分光学、轴向混叠和算法误差，限定可评价区域并报告排除比例。补扫不能消除的轴向混叠将作为系统边界。</w:t>
      </w:r>
    </w:p>
    <w:p>
      <w:pPr>
        <w:pStyle w:val="Heading1"/>
      </w:pPr>
      <w:r>
        <w:t>Aim 3：开展独立标本与组织学验证</w:t>
      </w:r>
    </w:p>
    <w:p>
      <w:pPr>
        <w:widowControl/>
      </w:pPr>
      <w:r>
        <w:t>依据：同一区域重复性及跨标本可靠性需要分别验证。方法：先在可获得的新鲜离体组织中完成配对扫描；具备标本与病理协作条件后，扩展至新鲜乳腺组织。按患者或独立标本划分训练、调参与测试数据；在测试前固定算法和质量阈值。以组织地标配准后续 H&amp;E，比较对应区域的核密度和面积分布，报告偏差、Bland–Altman 一致性界限及标本层面的置信区间。可逐核匹配的区域另报分割指标；相关性仅作补充。</w:t>
      </w:r>
    </w:p>
    <w:p>
      <w:pPr>
        <w:widowControl/>
      </w:pPr>
      <w:r>
        <w:t>预期：获得跨标本的速度—误差关系，并报告装样、扫描、补扫与分析的完整耗时。风险：固定收缩及切片深度差异可能产生系统偏差；将记录处理步骤、比较相邻切片，并把配准不确定性与成像误差分别讨论。样本量由预实验的标本间变异确定，多个视野不替代独立样本；暂不以临床诊断效能为终点。</w:t>
      </w:r>
    </w:p>
    <w:p>
      <w:pPr>
        <w:pStyle w:val="Heading1"/>
      </w:pPr>
      <w:r>
        <w:t>Intellectual Merit</w:t>
      </w:r>
    </w:p>
    <w:p>
      <w:pPr>
        <w:widowControl/>
      </w:pPr>
      <w:r>
        <w:t>拟议贡献是建立“采集质量—形态误差—局部补扫”的可检验联系，使系统依据测量可靠性分配采集时间。通过消融对照与独立标本测试，明确质量反馈何时有收益、何时受轴向混叠限制，为快速无标记显微成像提供可复用的设计依据。</w:t>
      </w:r>
    </w:p>
    <w:p>
      <w:pPr>
        <w:pStyle w:val="Heading1"/>
      </w:pPr>
      <w:r>
        <w:t>Broader Impacts</w:t>
      </w:r>
    </w:p>
    <w:p>
      <w:pPr>
        <w:widowControl/>
      </w:pPr>
      <w:r>
        <w:t>该方法有望为未来快速组织评估设备提供更可靠的工程基础。计划在允许共享的范围内发布分析代码、体模测试流程及示例数据，并开发面向本科生的扫描同步与图像质量实验，用前后测和操作反馈评估学习效果。</w:t>
      </w:r>
    </w:p>
    <w:p>
      <w:pPr>
        <w:pStyle w:val="Heading1"/>
      </w:pPr>
      <w:r>
        <w:t>References</w:t>
      </w:r>
    </w:p>
    <w:p>
      <w:pPr>
        <w:widowControl/>
      </w:pPr>
      <w:r>
        <w:t>[1] Cao R et al. Sci. Adv. 2024;10:eado0518.</w:t>
        <w:br/>
        <w:t>[2] Cao R et al. Nat. Biomed. Eng. 2023;7:124–134.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20" w:lineRule="exact"/>
    </w:pPr>
    <w:rPr>
      <w:rFonts w:ascii="Noto Sans CJK SC" w:hAnsi="Noto Sans CJK SC"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line="320" w:lineRule="exact"/>
      <w:outlineLvl w:val="0"/>
    </w:pPr>
    <w:rPr>
      <w:rFonts w:asciiTheme="majorHAnsi" w:eastAsiaTheme="majorEastAsia" w:hAnsiTheme="majorHAnsi" w:cstheme="majorBidi" w:ascii="Noto Sans CJK SC" w:hAnsi="Noto Sans CJK SC" w:eastAsia="Noto Sans CJK SC"/>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20" w:lineRule="exact"/>
      <w:contextualSpacing/>
    </w:pPr>
    <w:rPr>
      <w:rFonts w:asciiTheme="majorHAnsi" w:eastAsiaTheme="majorEastAsia" w:hAnsiTheme="majorHAnsi" w:cstheme="majorBidi" w:ascii="Noto Sans CJK SC" w:hAnsi="Noto Sans CJK SC" w:eastAsia="Noto Sans CJK SC"/>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面向新鲜组织可靠形态定量的质量引导紫外光声显微成像</dc:title>
  <dc:subject/>
  <dc:creator>Yumeng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