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Times New Roman" w:cs="Times New Roman" w:eastAsia="Times New Roman" w:hAnsi="Times New Roman"/>
          <w:b w:val="1"/>
          <w:bCs w:val="1"/>
          <w:sz w:val="26"/>
          <w:szCs w:val="26"/>
          <w:rtl w:val="0"/>
        </w:rPr>
        <w:t xml:space="preserve">Quality-Guided Ultraviolet Photoacoustic Microscopy for Rapid and Reliable Tissue Assessment</w:t>
      </w:r>
      <w:r w:rsidDel="00000000" w:rsidR="00000000" w:rsidRPr="00000000">
        <w:rPr>
          <w:rtl w:val="0"/>
        </w:rPr>
      </w:r>
    </w:p>
    <w:p w:rsidR="00000000" w:rsidDel="00000000" w:rsidP="00000000" w:rsidRDefault="00000000" w:rsidRPr="00000000" w14:paraId="00000002">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Background and Gap</w:t>
      </w:r>
      <w:r w:rsidDel="00000000" w:rsidR="00000000" w:rsidRPr="00000000">
        <w:rPr>
          <w:rtl w:val="0"/>
        </w:rPr>
      </w:r>
    </w:p>
    <w:p w:rsidR="00000000" w:rsidDel="00000000" w:rsidP="00000000" w:rsidRDefault="00000000" w:rsidRPr="00000000" w14:paraId="00000003">
      <w:pPr>
        <w:spacing w:after="40" w:line="240" w:lineRule="auto"/>
        <w:jc w:val="both"/>
        <w:rPr/>
      </w:pPr>
      <w:r w:rsidDel="00000000" w:rsidR="00000000" w:rsidRPr="00000000">
        <w:rPr>
          <w:rFonts w:ascii="Times New Roman" w:cs="Times New Roman" w:eastAsia="Times New Roman" w:hAnsi="Times New Roman"/>
          <w:sz w:val="22"/>
          <w:szCs w:val="22"/>
          <w:rtl w:val="0"/>
        </w:rPr>
        <w:t xml:space="preserve">A 2012 multicenter study reported a 22.9% re-excision rate after breast-conserving surgery, with large variation among surgeons [3]. Conventional paraffin H&amp;E processing requires fixation, sectioning, and staining, which is too slow for immediate assessment. Ultraviolet photoacoustic microscopy (UV-PAM) uses the intrinsic UV absorption of nucleic acids to generate nuclear contrast, allowing unstained tissue to be imaged without thin sectioning. Parallel eight-beam UV-PAM by Cao et al. achieved 1.3 μm resolution at 4.2 min/cm² [1], and deep-learning-assisted UV-PAM has demonstrated virtual H&amp;E imaging and morphological analysis in fixed bone tissue [2].</w:t>
      </w:r>
      <w:r w:rsidDel="00000000" w:rsidR="00000000" w:rsidRPr="00000000">
        <w:rPr>
          <w:rtl w:val="0"/>
        </w:rPr>
      </w:r>
    </w:p>
    <w:p w:rsidR="00000000" w:rsidDel="00000000" w:rsidP="00000000" w:rsidRDefault="00000000" w:rsidRPr="00000000" w14:paraId="00000004">
      <w:pPr>
        <w:spacing w:after="40" w:line="240" w:lineRule="auto"/>
        <w:jc w:val="both"/>
        <w:rPr/>
      </w:pPr>
      <w:r w:rsidDel="00000000" w:rsidR="00000000" w:rsidRPr="00000000">
        <w:rPr>
          <w:rFonts w:ascii="Times New Roman" w:cs="Times New Roman" w:eastAsia="Times New Roman" w:hAnsi="Times New Roman"/>
          <w:sz w:val="22"/>
          <w:szCs w:val="22"/>
          <w:rtl w:val="0"/>
        </w:rPr>
        <w:t xml:space="preserve">However, fast acquisition does not guarantee reliable nuclear morphometry. Limited depth of field, nonuniform signal, and axial overlap of nuclei in thick tissue can all bias nuclear counts and area measurements. This project addresses whether image-quality metrics can predict nuclear morphology errors, and whether selective re-acquisition guided by these metrics can increase the tissue area meeting quality requirements per unit time.</w:t>
      </w:r>
      <w:r w:rsidDel="00000000" w:rsidR="00000000" w:rsidRPr="00000000">
        <w:rPr>
          <w:rtl w:val="0"/>
        </w:rPr>
      </w:r>
    </w:p>
    <w:p w:rsidR="00000000" w:rsidDel="00000000" w:rsidP="00000000" w:rsidRDefault="00000000" w:rsidRPr="00000000" w14:paraId="00000005">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Objective and Hypothesis</w:t>
      </w:r>
      <w:r w:rsidDel="00000000" w:rsidR="00000000" w:rsidRPr="00000000">
        <w:rPr>
          <w:rtl w:val="0"/>
        </w:rPr>
      </w:r>
    </w:p>
    <w:p w:rsidR="00000000" w:rsidDel="00000000" w:rsidP="00000000" w:rsidRDefault="00000000" w:rsidRPr="00000000" w14:paraId="00000006">
      <w:pPr>
        <w:spacing w:after="4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Objective:</w:t>
      </w:r>
      <w:r w:rsidDel="00000000" w:rsidR="00000000" w:rsidRPr="00000000">
        <w:rPr>
          <w:rFonts w:ascii="Times New Roman" w:cs="Times New Roman" w:eastAsia="Times New Roman" w:hAnsi="Times New Roman"/>
          <w:sz w:val="22"/>
          <w:szCs w:val="22"/>
          <w:rtl w:val="0"/>
        </w:rPr>
        <w:t xml:space="preserve"> To develop a quality-guided UV-PAM acquisition and nuclear morphometry workflow, evaluate acquisition fidelity against a high-quality UV-PAM scan of the same region, and independently assess histological agreement with corresponding H&amp;E sections.</w:t>
      </w:r>
      <w:r w:rsidDel="00000000" w:rsidR="00000000" w:rsidRPr="00000000">
        <w:rPr>
          <w:rtl w:val="0"/>
        </w:rPr>
      </w:r>
    </w:p>
    <w:p w:rsidR="00000000" w:rsidDel="00000000" w:rsidP="00000000" w:rsidRDefault="00000000" w:rsidRPr="00000000" w14:paraId="00000007">
      <w:pPr>
        <w:spacing w:after="4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Central hypothesis:</w:t>
      </w:r>
      <w:r w:rsidDel="00000000" w:rsidR="00000000" w:rsidRPr="00000000">
        <w:rPr>
          <w:rFonts w:ascii="Gungsuh" w:cs="Gungsuh" w:eastAsia="Gungsuh" w:hAnsi="Gungsuh"/>
          <w:sz w:val="22"/>
          <w:szCs w:val="22"/>
          <w:rtl w:val="0"/>
        </w:rPr>
        <w:t xml:space="preserve"> Acquiring fewer repeated pulses per position in the initial pass, and re-acquiring only regions of insufficient quality, will reduce total time while preserving nuclear morphology. As tentative design targets, relative to a full-area reference scan with more repetitions on the same hardware, I aim to reduce total acquisition and processing time by ≥30% while keeping errors in nuclear number density and median nuclear area within 10% of the UV-PAM reference. These thresholds will be refined in pilot experiments based on reference repeatability and measured time costs, and locked before independent testing; agreement with H&amp;E will be reported separately.</w:t>
      </w:r>
      <w:r w:rsidDel="00000000" w:rsidR="00000000" w:rsidRPr="00000000">
        <w:rPr>
          <w:rtl w:val="0"/>
        </w:rPr>
      </w:r>
    </w:p>
    <w:p w:rsidR="00000000" w:rsidDel="00000000" w:rsidP="00000000" w:rsidRDefault="00000000" w:rsidRPr="00000000" w14:paraId="00000008">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Preliminary Work</w:t>
      </w:r>
      <w:r w:rsidDel="00000000" w:rsidR="00000000" w:rsidRPr="00000000">
        <w:rPr>
          <w:rtl w:val="0"/>
        </w:rPr>
      </w:r>
    </w:p>
    <w:p w:rsidR="00000000" w:rsidDel="00000000" w:rsidP="00000000" w:rsidRDefault="00000000" w:rsidRPr="00000000" w14:paraId="00000009">
      <w:pPr>
        <w:spacing w:after="40" w:line="240" w:lineRule="auto"/>
        <w:jc w:val="both"/>
        <w:rPr/>
      </w:pPr>
      <w:r w:rsidDel="00000000" w:rsidR="00000000" w:rsidRPr="00000000">
        <w:rPr>
          <w:rFonts w:ascii="Times New Roman" w:cs="Times New Roman" w:eastAsia="Times New Roman" w:hAnsi="Times New Roman"/>
          <w:sz w:val="22"/>
          <w:szCs w:val="22"/>
          <w:rtl w:val="0"/>
        </w:rPr>
        <w:t xml:space="preserve">In Dr. Rui Cao’s laboratory, I am responsible for scan control and acquisition debugging on a photoacoustic microscopy testbed. I have mapped the timing relationships among motor stepping, laser triggering, and DAQ acquisition in the existing LabVIEW program, and verified the correspondence between the number of trigger pulses, scan positions, and acquisition buffer length for each scan line. Previously, I independently designed and built a pressure, temperature, and flow testing system with a reproducible measurement protocol for ECMO quality inspection, and I established a data quality-control pipeline and used R-hat to assess Bayesian model convergence in an fMRI study. I am currently investigating noise sources in the acquisition chain; next, I will implement B-scan imaging and measure resolution and CNR on phantoms. The skills I built in these projects—timing verification, instrument testing, and data quality control—will directly support the quality-guided acquisition and validation proposed here.</w:t>
      </w:r>
      <w:r w:rsidDel="00000000" w:rsidR="00000000" w:rsidRPr="00000000">
        <w:rPr>
          <w:rtl w:val="0"/>
        </w:rPr>
      </w:r>
    </w:p>
    <w:p w:rsidR="00000000" w:rsidDel="00000000" w:rsidP="00000000" w:rsidRDefault="00000000" w:rsidRPr="00000000" w14:paraId="0000000A">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Aim 1: Develop a quality-feedback-driven acquisition method</w:t>
      </w:r>
      <w:r w:rsidDel="00000000" w:rsidR="00000000" w:rsidRPr="00000000">
        <w:rPr>
          <w:rtl w:val="0"/>
        </w:rPr>
      </w:r>
    </w:p>
    <w:p w:rsidR="00000000" w:rsidDel="00000000" w:rsidP="00000000" w:rsidRDefault="00000000" w:rsidRPr="00000000" w14:paraId="0000000B">
      <w:pPr>
        <w:spacing w:after="4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Rationale:</w:t>
      </w:r>
      <w:r w:rsidDel="00000000" w:rsidR="00000000" w:rsidRPr="00000000">
        <w:rPr>
          <w:rFonts w:ascii="Times New Roman" w:cs="Times New Roman" w:eastAsia="Times New Roman" w:hAnsi="Times New Roman"/>
          <w:sz w:val="22"/>
          <w:szCs w:val="22"/>
          <w:rtl w:val="0"/>
        </w:rPr>
        <w:t xml:space="preserve"> Using many repetitions across the entire field wastes time in regions where the signal is already sufficient. </w:t>
      </w:r>
      <w:r w:rsidDel="00000000" w:rsidR="00000000" w:rsidRPr="00000000">
        <w:rPr>
          <w:rFonts w:ascii="Times New Roman" w:cs="Times New Roman" w:eastAsia="Times New Roman" w:hAnsi="Times New Roman"/>
          <w:b w:val="1"/>
          <w:bCs w:val="1"/>
          <w:sz w:val="22"/>
          <w:szCs w:val="22"/>
          <w:rtl w:val="0"/>
        </w:rPr>
        <w:t xml:space="preserve">Approach:</w:t>
      </w:r>
      <w:r w:rsidDel="00000000" w:rsidR="00000000" w:rsidRPr="00000000">
        <w:rPr>
          <w:rFonts w:ascii="Times New Roman" w:cs="Times New Roman" w:eastAsia="Times New Roman" w:hAnsi="Times New Roman"/>
          <w:sz w:val="22"/>
          <w:szCs w:val="22"/>
          <w:rtl w:val="0"/>
        </w:rPr>
        <w:t xml:space="preserve"> I will first calibrate trigger, motion, and acquisition timing to confirm that repeated pulses correspond to the same sampling position. Using absorber phantoms of known size and </w:t>
      </w:r>
      <w:r w:rsidDel="00000000" w:rsidR="00000000" w:rsidRPr="00000000">
        <w:rPr>
          <w:rFonts w:ascii="Times New Roman" w:cs="Times New Roman" w:eastAsia="Times New Roman" w:hAnsi="Times New Roman"/>
          <w:i w:val="1"/>
          <w:iCs w:val="1"/>
          <w:sz w:val="22"/>
          <w:szCs w:val="22"/>
          <w:rtl w:val="0"/>
        </w:rPr>
        <w:t xml:space="preserve">ex vivo</w:t>
      </w:r>
      <w:r w:rsidDel="00000000" w:rsidR="00000000" w:rsidRPr="00000000">
        <w:rPr>
          <w:rFonts w:ascii="Times New Roman" w:cs="Times New Roman" w:eastAsia="Times New Roman" w:hAnsi="Times New Roman"/>
          <w:sz w:val="22"/>
          <w:szCs w:val="22"/>
          <w:rtl w:val="0"/>
        </w:rPr>
        <w:t xml:space="preserve"> tissue, I will measure resolution, contrast-to-noise ratio (CNR), and localization error to set the initial number of repetitions and quality thresholds. I will implement block-wise quality control in LabVIEW, adding and averaging acquisitions only in low-quality blocks; out-of-focus blocks will be refocused separately and their overhead recorded. Three schemes will be compared—full-area high-repetition, fixed low-repetition, and adaptive re-acquisition—with identical field of view, sampling pitch, and per-pulse energy, while recording cumulative light exposure. </w:t>
      </w:r>
      <w:r w:rsidDel="00000000" w:rsidR="00000000" w:rsidRPr="00000000">
        <w:rPr>
          <w:rFonts w:ascii="Times New Roman" w:cs="Times New Roman" w:eastAsia="Times New Roman" w:hAnsi="Times New Roman"/>
          <w:b w:val="1"/>
          <w:bCs w:val="1"/>
          <w:sz w:val="22"/>
          <w:szCs w:val="22"/>
          <w:rtl w:val="0"/>
        </w:rPr>
        <w:t xml:space="preserve">Expected outcome:</w:t>
      </w:r>
      <w:r w:rsidDel="00000000" w:rsidR="00000000" w:rsidRPr="00000000">
        <w:rPr>
          <w:rFonts w:ascii="Times New Roman" w:cs="Times New Roman" w:eastAsia="Times New Roman" w:hAnsi="Times New Roman"/>
          <w:sz w:val="22"/>
          <w:szCs w:val="22"/>
          <w:rtl w:val="0"/>
        </w:rPr>
        <w:t xml:space="preserve"> A curve of quality-acceptable area versus total time, with quality computation, motor return, refocusing, and re-acquisition all counted. </w:t>
      </w:r>
      <w:r w:rsidDel="00000000" w:rsidR="00000000" w:rsidRPr="00000000">
        <w:rPr>
          <w:rFonts w:ascii="Times New Roman" w:cs="Times New Roman" w:eastAsia="Times New Roman" w:hAnsi="Times New Roman"/>
          <w:b w:val="1"/>
          <w:bCs w:val="1"/>
          <w:sz w:val="22"/>
          <w:szCs w:val="22"/>
          <w:rtl w:val="0"/>
        </w:rPr>
        <w:t xml:space="preserve">Risks and alternatives:</w:t>
      </w:r>
      <w:r w:rsidDel="00000000" w:rsidR="00000000" w:rsidRPr="00000000">
        <w:rPr>
          <w:rFonts w:ascii="Times New Roman" w:cs="Times New Roman" w:eastAsia="Times New Roman" w:hAnsi="Times New Roman"/>
          <w:sz w:val="22"/>
          <w:szCs w:val="22"/>
          <w:rtl w:val="0"/>
        </w:rPr>
        <w:t xml:space="preserve"> Sparse-cell regions may be misclassified as low quality; I will address this with phantom calibration, focus metrics, and random spot checks. If online computation is too slow, I will scan all blocks first and then re-acquire flagged blocks in a batch.</w:t>
      </w:r>
      <w:r w:rsidDel="00000000" w:rsidR="00000000" w:rsidRPr="00000000">
        <w:rPr>
          <w:rtl w:val="0"/>
        </w:rPr>
      </w:r>
    </w:p>
    <w:p w:rsidR="00000000" w:rsidDel="00000000" w:rsidP="00000000" w:rsidRDefault="00000000" w:rsidRPr="00000000" w14:paraId="0000000C">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Aim 2: Quantify how acquisition quality affects nuclear morphometry</w:t>
      </w:r>
      <w:r w:rsidDel="00000000" w:rsidR="00000000" w:rsidRPr="00000000">
        <w:rPr>
          <w:rtl w:val="0"/>
        </w:rPr>
      </w:r>
    </w:p>
    <w:p w:rsidR="00000000" w:rsidDel="00000000" w:rsidP="00000000" w:rsidRDefault="00000000" w:rsidRPr="00000000" w14:paraId="0000000D">
      <w:pPr>
        <w:spacing w:after="4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Rationale:</w:t>
      </w:r>
      <w:r w:rsidDel="00000000" w:rsidR="00000000" w:rsidRPr="00000000">
        <w:rPr>
          <w:rFonts w:ascii="Times New Roman" w:cs="Times New Roman" w:eastAsia="Times New Roman" w:hAnsi="Times New Roman"/>
          <w:sz w:val="22"/>
          <w:szCs w:val="22"/>
          <w:rtl w:val="0"/>
        </w:rPr>
        <w:t xml:space="preserve"> Quality metrics can guide acquisition only if they reflect errors in nuclear counts and morphology. </w:t>
      </w:r>
      <w:r w:rsidDel="00000000" w:rsidR="00000000" w:rsidRPr="00000000">
        <w:rPr>
          <w:rFonts w:ascii="Times New Roman" w:cs="Times New Roman" w:eastAsia="Times New Roman" w:hAnsi="Times New Roman"/>
          <w:b w:val="1"/>
          <w:bCs w:val="1"/>
          <w:sz w:val="22"/>
          <w:szCs w:val="22"/>
          <w:rtl w:val="0"/>
        </w:rPr>
        <w:t xml:space="preserve">Approach:</w:t>
      </w:r>
      <w:r w:rsidDel="00000000" w:rsidR="00000000" w:rsidRPr="00000000">
        <w:rPr>
          <w:rFonts w:ascii="Times New Roman" w:cs="Times New Roman" w:eastAsia="Times New Roman" w:hAnsi="Times New Roman"/>
          <w:sz w:val="22"/>
          <w:szCs w:val="22"/>
          <w:rtl w:val="0"/>
        </w:rPr>
        <w:t xml:space="preserve"> I will manually annotate nuclei on high-quality raw PA images to create a reference segmentation, then use automated segmentation to measure nuclear detection rate, false-positive rate, density, and area distribution. By varying the number of repetitions, degree of defocus, and re-acquisition conditions, I will test how well quality metrics predict quantitative error. </w:t>
      </w:r>
      <w:r w:rsidDel="00000000" w:rsidR="00000000" w:rsidRPr="00000000">
        <w:rPr>
          <w:rFonts w:ascii="Times New Roman" w:cs="Times New Roman" w:eastAsia="Times New Roman" w:hAnsi="Times New Roman"/>
          <w:b w:val="1"/>
          <w:bCs w:val="1"/>
          <w:sz w:val="22"/>
          <w:szCs w:val="22"/>
          <w:rtl w:val="0"/>
        </w:rPr>
        <w:t xml:space="preserve">Expected outcome:</w:t>
      </w:r>
      <w:r w:rsidDel="00000000" w:rsidR="00000000" w:rsidRPr="00000000">
        <w:rPr>
          <w:rFonts w:ascii="Times New Roman" w:cs="Times New Roman" w:eastAsia="Times New Roman" w:hAnsi="Times New Roman"/>
          <w:sz w:val="22"/>
          <w:szCs w:val="22"/>
          <w:rtl w:val="0"/>
        </w:rPr>
        <w:t xml:space="preserve"> Quality-annotated nuclear morphology maps that define where measurements are reliable and where they fail. </w:t>
      </w:r>
      <w:r w:rsidDel="00000000" w:rsidR="00000000" w:rsidRPr="00000000">
        <w:rPr>
          <w:rFonts w:ascii="Times New Roman" w:cs="Times New Roman" w:eastAsia="Times New Roman" w:hAnsi="Times New Roman"/>
          <w:b w:val="1"/>
          <w:bCs w:val="1"/>
          <w:sz w:val="22"/>
          <w:szCs w:val="22"/>
          <w:rtl w:val="0"/>
        </w:rPr>
        <w:t xml:space="preserve">Risks and alternatives:</w:t>
      </w:r>
      <w:r w:rsidDel="00000000" w:rsidR="00000000" w:rsidRPr="00000000">
        <w:rPr>
          <w:rFonts w:ascii="Times New Roman" w:cs="Times New Roman" w:eastAsia="Times New Roman" w:hAnsi="Times New Roman"/>
          <w:sz w:val="22"/>
          <w:szCs w:val="22"/>
          <w:rtl w:val="0"/>
        </w:rPr>
        <w:t xml:space="preserve"> The reference PA image may itself miss nuclei, so it will be cross-checked against histology in Aim 3. Axial overlap will be evaluated with layered phantoms and thin sections, and the fraction of excluded regions will be reported; overlap that averaging cannot remove will define the method’s limit.</w:t>
      </w:r>
      <w:r w:rsidDel="00000000" w:rsidR="00000000" w:rsidRPr="00000000">
        <w:rPr>
          <w:rtl w:val="0"/>
        </w:rPr>
      </w:r>
    </w:p>
    <w:p w:rsidR="00000000" w:rsidDel="00000000" w:rsidP="00000000" w:rsidRDefault="00000000" w:rsidRPr="00000000" w14:paraId="0000000E">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Aim 3: Benchmark against H&amp;E histology</w:t>
      </w:r>
      <w:r w:rsidDel="00000000" w:rsidR="00000000" w:rsidRPr="00000000">
        <w:rPr>
          <w:rtl w:val="0"/>
        </w:rPr>
      </w:r>
    </w:p>
    <w:p w:rsidR="00000000" w:rsidDel="00000000" w:rsidP="00000000" w:rsidRDefault="00000000" w:rsidRPr="00000000" w14:paraId="0000000F">
      <w:pPr>
        <w:spacing w:after="4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Rationale:</w:t>
      </w:r>
      <w:r w:rsidDel="00000000" w:rsidR="00000000" w:rsidRPr="00000000">
        <w:rPr>
          <w:rFonts w:ascii="Times New Roman" w:cs="Times New Roman" w:eastAsia="Times New Roman" w:hAnsi="Times New Roman"/>
          <w:sz w:val="22"/>
          <w:szCs w:val="22"/>
          <w:rtl w:val="0"/>
        </w:rPr>
        <w:t xml:space="preserve"> Repeatability within a region and reliability across specimens must be validated separately. </w:t>
      </w:r>
      <w:r w:rsidDel="00000000" w:rsidR="00000000" w:rsidRPr="00000000">
        <w:rPr>
          <w:rFonts w:ascii="Times New Roman" w:cs="Times New Roman" w:eastAsia="Times New Roman" w:hAnsi="Times New Roman"/>
          <w:b w:val="1"/>
          <w:bCs w:val="1"/>
          <w:sz w:val="22"/>
          <w:szCs w:val="22"/>
          <w:rtl w:val="0"/>
        </w:rPr>
        <w:t xml:space="preserve">Approach:</w:t>
      </w:r>
      <w:r w:rsidDel="00000000" w:rsidR="00000000" w:rsidRPr="00000000">
        <w:rPr>
          <w:rFonts w:ascii="Times New Roman" w:cs="Times New Roman" w:eastAsia="Times New Roman" w:hAnsi="Times New Roman"/>
          <w:sz w:val="22"/>
          <w:szCs w:val="22"/>
          <w:rtl w:val="0"/>
        </w:rPr>
        <w:t xml:space="preserve"> The laboratory is arranging access to fresh tissue and pathology support. Meanwhile, I will perform paired experiments (UV-PAM scanning followed by H&amp;E processing) on available </w:t>
      </w:r>
      <w:r w:rsidDel="00000000" w:rsidR="00000000" w:rsidRPr="00000000">
        <w:rPr>
          <w:rFonts w:ascii="Times New Roman" w:cs="Times New Roman" w:eastAsia="Times New Roman" w:hAnsi="Times New Roman"/>
          <w:i w:val="1"/>
          <w:iCs w:val="1"/>
          <w:sz w:val="22"/>
          <w:szCs w:val="22"/>
          <w:rtl w:val="0"/>
        </w:rPr>
        <w:t xml:space="preserve">ex vivo</w:t>
      </w:r>
      <w:r w:rsidDel="00000000" w:rsidR="00000000" w:rsidRPr="00000000">
        <w:rPr>
          <w:rFonts w:ascii="Times New Roman" w:cs="Times New Roman" w:eastAsia="Times New Roman" w:hAnsi="Times New Roman"/>
          <w:sz w:val="22"/>
          <w:szCs w:val="22"/>
          <w:rtl w:val="0"/>
        </w:rPr>
        <w:t xml:space="preserve"> animal tissue, and extend to fresh breast tissue once human tissue and pathology collaboration are in place. Data will be split into training, tuning, and test sets by independent specimen, with algorithms and thresholds fixed before testing. After landmark-based registration, nuclear density and area in matched regions will be compared using Bland–Altman analysis (bias and limits of agreement), with confidence intervals computed per specimen so that multiple fields of view are not treated as independent samples. </w:t>
      </w:r>
      <w:r w:rsidDel="00000000" w:rsidR="00000000" w:rsidRPr="00000000">
        <w:rPr>
          <w:rFonts w:ascii="Times New Roman" w:cs="Times New Roman" w:eastAsia="Times New Roman" w:hAnsi="Times New Roman"/>
          <w:b w:val="1"/>
          <w:bCs w:val="1"/>
          <w:sz w:val="22"/>
          <w:szCs w:val="22"/>
          <w:rtl w:val="0"/>
        </w:rPr>
        <w:t xml:space="preserve">Expected outcome:</w:t>
      </w:r>
      <w:r w:rsidDel="00000000" w:rsidR="00000000" w:rsidRPr="00000000">
        <w:rPr>
          <w:rFonts w:ascii="Times New Roman" w:cs="Times New Roman" w:eastAsia="Times New Roman" w:hAnsi="Times New Roman"/>
          <w:sz w:val="22"/>
          <w:szCs w:val="22"/>
          <w:rtl w:val="0"/>
        </w:rPr>
        <w:t xml:space="preserve"> A cross-specimen speed–error relationship, with mounting, scanning, re-acquisition, and analysis times reported separately. </w:t>
      </w:r>
      <w:r w:rsidDel="00000000" w:rsidR="00000000" w:rsidRPr="00000000">
        <w:rPr>
          <w:rFonts w:ascii="Times New Roman" w:cs="Times New Roman" w:eastAsia="Times New Roman" w:hAnsi="Times New Roman"/>
          <w:b w:val="1"/>
          <w:bCs w:val="1"/>
          <w:sz w:val="22"/>
          <w:szCs w:val="22"/>
          <w:rtl w:val="0"/>
        </w:rPr>
        <w:t xml:space="preserve">Risks and alternatives:</w:t>
      </w:r>
      <w:r w:rsidDel="00000000" w:rsidR="00000000" w:rsidRPr="00000000">
        <w:rPr>
          <w:rFonts w:ascii="Times New Roman" w:cs="Times New Roman" w:eastAsia="Times New Roman" w:hAnsi="Times New Roman"/>
          <w:sz w:val="22"/>
          <w:szCs w:val="22"/>
          <w:rtl w:val="0"/>
        </w:rPr>
        <w:t xml:space="preserve"> Fixation-induced shrinkage and differences in sectioning depth may affect pairing; I will compare adjacent sections and assess registration uncertainty separately. Sample size will be determined from inter-specimen variability in pilot data. Animal-tissue results validate the method only, not clinical performance.</w:t>
      </w:r>
      <w:r w:rsidDel="00000000" w:rsidR="00000000" w:rsidRPr="00000000">
        <w:rPr>
          <w:rtl w:val="0"/>
        </w:rPr>
      </w:r>
    </w:p>
    <w:p w:rsidR="00000000" w:rsidDel="00000000" w:rsidP="00000000" w:rsidRDefault="00000000" w:rsidRPr="00000000" w14:paraId="00000010">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Intellectual Merit</w:t>
      </w:r>
      <w:r w:rsidDel="00000000" w:rsidR="00000000" w:rsidRPr="00000000">
        <w:rPr>
          <w:rtl w:val="0"/>
        </w:rPr>
      </w:r>
    </w:p>
    <w:p w:rsidR="00000000" w:rsidDel="00000000" w:rsidP="00000000" w:rsidRDefault="00000000" w:rsidRPr="00000000" w14:paraId="00000011">
      <w:pPr>
        <w:spacing w:after="40" w:line="240" w:lineRule="auto"/>
        <w:jc w:val="both"/>
        <w:rPr/>
      </w:pPr>
      <w:r w:rsidDel="00000000" w:rsidR="00000000" w:rsidRPr="00000000">
        <w:rPr>
          <w:rFonts w:ascii="Times New Roman" w:cs="Times New Roman" w:eastAsia="Times New Roman" w:hAnsi="Times New Roman"/>
          <w:sz w:val="22"/>
          <w:szCs w:val="22"/>
          <w:rtl w:val="0"/>
        </w:rPr>
        <w:t xml:space="preserve">This project will establish a quantitative link between acquisition quality, nuclear morphology error, and local re-acquisition, allowing the system to allocate repetitions according to measurement reliability. By comparing fixed fast scans, adaptive re-acquisition, and high-quality reference scans, and validating on independent specimens, it will determine when quality feedback improves efficiency and when it is limited by axial overlap, providing reusable design principles for scanning-based label-free microscopy.</w:t>
      </w:r>
      <w:r w:rsidDel="00000000" w:rsidR="00000000" w:rsidRPr="00000000">
        <w:rPr>
          <w:rtl w:val="0"/>
        </w:rPr>
      </w:r>
    </w:p>
    <w:p w:rsidR="00000000" w:rsidDel="00000000" w:rsidP="00000000" w:rsidRDefault="00000000" w:rsidRPr="00000000" w14:paraId="00000012">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Broader Impacts</w:t>
      </w:r>
      <w:r w:rsidDel="00000000" w:rsidR="00000000" w:rsidRPr="00000000">
        <w:rPr>
          <w:rtl w:val="0"/>
        </w:rPr>
      </w:r>
    </w:p>
    <w:p w:rsidR="00000000" w:rsidDel="00000000" w:rsidP="00000000" w:rsidRDefault="00000000" w:rsidRPr="00000000" w14:paraId="00000013">
      <w:pPr>
        <w:spacing w:after="40" w:line="240" w:lineRule="auto"/>
        <w:jc w:val="both"/>
        <w:rPr/>
      </w:pPr>
      <w:r w:rsidDel="00000000" w:rsidR="00000000" w:rsidRPr="00000000">
        <w:rPr>
          <w:rFonts w:ascii="Times New Roman" w:cs="Times New Roman" w:eastAsia="Times New Roman" w:hAnsi="Times New Roman"/>
          <w:sz w:val="22"/>
          <w:szCs w:val="22"/>
          <w:rtl w:val="0"/>
        </w:rPr>
        <w:t xml:space="preserve">If rapid, reliable tissue assessment ultimately allows surgeons to confirm margins during the first operation, patients could avoid a second surgery and the additional anesthesia, hospital visits, recovery time, costs, and delays to follow-up treatment that it brings. I will openly share analysis code and phantom-testing protocols to support reproducibility. Locally, building on my experience as an MIT MITES teaching assistant, I will mentor undergraduates—especially first-generation and underrepresented students—on this project and bring hands-on photoacoustic imaging demonstrations to campus and community events.</w:t>
      </w:r>
      <w:r w:rsidDel="00000000" w:rsidR="00000000" w:rsidRPr="00000000">
        <w:rPr>
          <w:rtl w:val="0"/>
        </w:rPr>
      </w:r>
    </w:p>
    <w:p w:rsidR="00000000" w:rsidDel="00000000" w:rsidP="00000000" w:rsidRDefault="00000000" w:rsidRPr="00000000" w14:paraId="00000014">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References</w:t>
      </w:r>
      <w:r w:rsidDel="00000000" w:rsidR="00000000" w:rsidRPr="00000000">
        <w:rPr>
          <w:rtl w:val="0"/>
        </w:rPr>
      </w:r>
    </w:p>
    <w:p w:rsidR="00000000" w:rsidDel="00000000" w:rsidP="00000000" w:rsidRDefault="00000000" w:rsidRPr="00000000" w14:paraId="00000015">
      <w:pPr>
        <w:spacing w:after="0" w:line="240" w:lineRule="auto"/>
        <w:rPr/>
      </w:pPr>
      <w:r w:rsidDel="00000000" w:rsidR="00000000" w:rsidRPr="00000000">
        <w:rPr>
          <w:rFonts w:ascii="Times New Roman" w:cs="Times New Roman" w:eastAsia="Times New Roman" w:hAnsi="Times New Roman"/>
          <w:sz w:val="18"/>
          <w:szCs w:val="18"/>
          <w:rtl w:val="0"/>
        </w:rPr>
        <w:t xml:space="preserve">[1] Cao R et al. Sci. Adv. 2024;10:eado0518.</w:t>
      </w:r>
      <w:r w:rsidDel="00000000" w:rsidR="00000000" w:rsidRPr="00000000">
        <w:rPr>
          <w:rtl w:val="0"/>
        </w:rPr>
      </w:r>
    </w:p>
    <w:p w:rsidR="00000000" w:rsidDel="00000000" w:rsidP="00000000" w:rsidRDefault="00000000" w:rsidRPr="00000000" w14:paraId="00000016">
      <w:pPr>
        <w:spacing w:after="0" w:line="240" w:lineRule="auto"/>
        <w:rPr/>
      </w:pPr>
      <w:r w:rsidDel="00000000" w:rsidR="00000000" w:rsidRPr="00000000">
        <w:rPr>
          <w:rFonts w:ascii="Times New Roman" w:cs="Times New Roman" w:eastAsia="Times New Roman" w:hAnsi="Times New Roman"/>
          <w:sz w:val="18"/>
          <w:szCs w:val="18"/>
          <w:rtl w:val="0"/>
        </w:rPr>
        <w:t xml:space="preserve">[2] Cao R et al. Nat. Biomed. Eng. 2023;7:124–134.</w:t>
      </w:r>
      <w:r w:rsidDel="00000000" w:rsidR="00000000" w:rsidRPr="00000000">
        <w:rPr>
          <w:rtl w:val="0"/>
        </w:rPr>
      </w:r>
    </w:p>
    <w:p w:rsidR="00000000" w:rsidDel="00000000" w:rsidP="00000000" w:rsidRDefault="00000000" w:rsidRPr="00000000" w14:paraId="00000017">
      <w:pPr>
        <w:spacing w:after="0" w:line="240" w:lineRule="auto"/>
        <w:rPr/>
      </w:pPr>
      <w:r w:rsidDel="00000000" w:rsidR="00000000" w:rsidRPr="00000000">
        <w:rPr>
          <w:rFonts w:ascii="Times New Roman" w:cs="Times New Roman" w:eastAsia="Times New Roman" w:hAnsi="Times New Roman"/>
          <w:sz w:val="18"/>
          <w:szCs w:val="18"/>
          <w:rtl w:val="0"/>
        </w:rPr>
        <w:t xml:space="preserve">[3] McCahill LE et al. JAMA. 2012;307(5):467–475.</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