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1437A7" w14:textId="77777777" w:rsidR="00083EFA" w:rsidRDefault="00000000">
      <w:pPr>
        <w:spacing w:after="80"/>
        <w:jc w:val="center"/>
      </w:pPr>
      <w:r>
        <w:rPr>
          <w:rFonts w:eastAsia="SimHei"/>
          <w:b/>
          <w:bCs/>
          <w:sz w:val="28"/>
          <w:szCs w:val="28"/>
        </w:rPr>
        <w:t>质量引导的紫外光声显微成像：实现快速且形态可靠的无标记组织评估</w:t>
      </w:r>
    </w:p>
    <w:p w14:paraId="4AA7E612" w14:textId="77777777" w:rsidR="00083EFA" w:rsidRDefault="00000000">
      <w:pPr>
        <w:spacing w:before="100" w:after="40"/>
      </w:pPr>
      <w:r>
        <w:rPr>
          <w:rFonts w:eastAsia="SimHei"/>
          <w:b/>
          <w:bCs/>
          <w:sz w:val="23"/>
          <w:szCs w:val="23"/>
        </w:rPr>
        <w:t>研究背景与缺口（</w:t>
      </w:r>
      <w:r>
        <w:rPr>
          <w:rFonts w:eastAsia="SimHei"/>
          <w:b/>
          <w:bCs/>
          <w:sz w:val="23"/>
          <w:szCs w:val="23"/>
        </w:rPr>
        <w:t>Background &amp; Gap</w:t>
      </w:r>
      <w:r>
        <w:rPr>
          <w:rFonts w:eastAsia="SimHei"/>
          <w:b/>
          <w:bCs/>
          <w:sz w:val="23"/>
          <w:szCs w:val="23"/>
        </w:rPr>
        <w:t>）</w:t>
      </w:r>
    </w:p>
    <w:p w14:paraId="263229AA" w14:textId="77777777" w:rsidR="00083EFA" w:rsidRDefault="00000000">
      <w:pPr>
        <w:spacing w:after="40" w:line="276" w:lineRule="auto"/>
        <w:jc w:val="both"/>
      </w:pPr>
      <w:r>
        <w:t>保乳手术后，相当一部分患者因切缘阳性需要二次手术，文献报道的再切除率约为</w:t>
      </w:r>
      <w:r>
        <w:t xml:space="preserve"> 20% </w:t>
      </w:r>
      <w:r>
        <w:t>以上，且不同外科医生之间差异很大</w:t>
      </w:r>
      <w:r>
        <w:t>[3]</w:t>
      </w:r>
      <w:r>
        <w:t>。常规</w:t>
      </w:r>
      <w:r>
        <w:t xml:space="preserve"> H&amp;E </w:t>
      </w:r>
      <w:r>
        <w:t>需要固定、切片和染色，难以在术中及时给出结果。紫外光声显微成像（</w:t>
      </w:r>
      <w:r>
        <w:t>UV-PAM</w:t>
      </w:r>
      <w:r>
        <w:t>）利用</w:t>
      </w:r>
      <w:r>
        <w:t xml:space="preserve"> DNA </w:t>
      </w:r>
      <w:r>
        <w:t>在</w:t>
      </w:r>
      <w:r>
        <w:t xml:space="preserve"> 266 nm </w:t>
      </w:r>
      <w:r>
        <w:t>处的本征吸收，无需染色和切片即可直接显示新鲜组织中的细胞核，是术中快速组织评估的有力候选。</w:t>
      </w:r>
      <w:r>
        <w:t xml:space="preserve">Cao </w:t>
      </w:r>
      <w:r>
        <w:t>等的并行</w:t>
      </w:r>
      <w:r>
        <w:t xml:space="preserve"> UV-PAM </w:t>
      </w:r>
      <w:r>
        <w:t>通过八光束扫描实现了</w:t>
      </w:r>
      <w:r>
        <w:t xml:space="preserve"> 1.3 μm </w:t>
      </w:r>
      <w:r>
        <w:t>分辨率和</w:t>
      </w:r>
      <w:r>
        <w:t xml:space="preserve"> 4.2 min/cm² </w:t>
      </w:r>
      <w:r>
        <w:t>的采集速度</w:t>
      </w:r>
      <w:r>
        <w:t>[1]</w:t>
      </w:r>
      <w:r>
        <w:t>；深度学习辅助的</w:t>
      </w:r>
      <w:r>
        <w:t xml:space="preserve"> UV-PAM </w:t>
      </w:r>
      <w:r>
        <w:t>已在骨组织中实现虚拟</w:t>
      </w:r>
      <w:r>
        <w:t xml:space="preserve"> H&amp;E </w:t>
      </w:r>
      <w:r>
        <w:t>成像与形态分析</w:t>
      </w:r>
      <w:r>
        <w:t>[2]</w:t>
      </w:r>
      <w:r>
        <w:t>。</w:t>
      </w:r>
    </w:p>
    <w:p w14:paraId="6D753286" w14:textId="77777777" w:rsidR="00083EFA" w:rsidRDefault="00000000">
      <w:pPr>
        <w:spacing w:after="40" w:line="276" w:lineRule="auto"/>
        <w:jc w:val="both"/>
      </w:pPr>
      <w:r>
        <w:t>然而，</w:t>
      </w:r>
      <w:r>
        <w:t>“</w:t>
      </w:r>
      <w:r>
        <w:t>扫得快</w:t>
      </w:r>
      <w:r>
        <w:t>”</w:t>
      </w:r>
      <w:r>
        <w:t>并不等于</w:t>
      </w:r>
      <w:r>
        <w:t>“</w:t>
      </w:r>
      <w:r>
        <w:t>测得准</w:t>
      </w:r>
      <w:r>
        <w:t>”</w:t>
      </w:r>
      <w:r>
        <w:t>：有限景深、信号不均匀以及厚组织中细胞核的轴向重叠，都可能使核计数和核面积失真；而现有系统对所有区域平均分配采集时间，无法判断哪些区域需要重扫。</w:t>
      </w:r>
      <w:r>
        <w:rPr>
          <w:b/>
          <w:bCs/>
        </w:rPr>
        <w:t>研究缺口：</w:t>
      </w:r>
      <w:r>
        <w:t>目前缺少一种在采集过程中评估图像质量、并据此分配扫描时间的方法，也缺少对</w:t>
      </w:r>
      <w:r>
        <w:t>“</w:t>
      </w:r>
      <w:r>
        <w:t>采集质量</w:t>
      </w:r>
      <w:r>
        <w:t>—</w:t>
      </w:r>
      <w:r>
        <w:t>核形态误差</w:t>
      </w:r>
      <w:r>
        <w:t>”</w:t>
      </w:r>
      <w:r>
        <w:t>关系的系统量化。</w:t>
      </w:r>
    </w:p>
    <w:p w14:paraId="442041BB" w14:textId="77777777" w:rsidR="00083EFA" w:rsidRDefault="00000000">
      <w:pPr>
        <w:spacing w:before="100" w:after="40"/>
      </w:pPr>
      <w:r>
        <w:rPr>
          <w:rFonts w:eastAsia="SimHei"/>
          <w:b/>
          <w:bCs/>
          <w:sz w:val="23"/>
          <w:szCs w:val="23"/>
        </w:rPr>
        <w:t>研究目标与假设（</w:t>
      </w:r>
      <w:r>
        <w:rPr>
          <w:rFonts w:eastAsia="SimHei"/>
          <w:b/>
          <w:bCs/>
          <w:sz w:val="23"/>
          <w:szCs w:val="23"/>
        </w:rPr>
        <w:t>Objective &amp; Hypothesis</w:t>
      </w:r>
      <w:r>
        <w:rPr>
          <w:rFonts w:eastAsia="SimHei"/>
          <w:b/>
          <w:bCs/>
          <w:sz w:val="23"/>
          <w:szCs w:val="23"/>
        </w:rPr>
        <w:t>）</w:t>
      </w:r>
    </w:p>
    <w:p w14:paraId="248670F0" w14:textId="77777777" w:rsidR="00083EFA" w:rsidRDefault="00000000">
      <w:pPr>
        <w:spacing w:after="40" w:line="276" w:lineRule="auto"/>
        <w:jc w:val="both"/>
      </w:pPr>
      <w:r>
        <w:rPr>
          <w:b/>
          <w:bCs/>
        </w:rPr>
        <w:t>目标：</w:t>
      </w:r>
      <w:r>
        <w:t>开发质量引导的</w:t>
      </w:r>
      <w:r>
        <w:t xml:space="preserve"> UV-PAM </w:t>
      </w:r>
      <w:r>
        <w:t>采集与核形态分析流程，并以</w:t>
      </w:r>
      <w:r>
        <w:t xml:space="preserve"> H&amp;E </w:t>
      </w:r>
      <w:r>
        <w:t>作为金标准进行基准验证（</w:t>
      </w:r>
      <w:r>
        <w:t>benchmark</w:t>
      </w:r>
      <w:r>
        <w:t>）。</w:t>
      </w:r>
    </w:p>
    <w:p w14:paraId="54A75E09" w14:textId="77777777" w:rsidR="00083EFA" w:rsidRDefault="00000000">
      <w:pPr>
        <w:spacing w:after="40" w:line="276" w:lineRule="auto"/>
        <w:jc w:val="both"/>
      </w:pPr>
      <w:r>
        <w:rPr>
          <w:b/>
          <w:bCs/>
        </w:rPr>
        <w:t>中心假设：</w:t>
      </w:r>
      <w:r>
        <w:t>通过实时识别失焦、低信噪比和采集异常区域，并只对这些区域进行补扫，可以比同一硬件上的全区域高质量扫描减少至少</w:t>
      </w:r>
      <w:r>
        <w:t xml:space="preserve"> 30% </w:t>
      </w:r>
      <w:r>
        <w:t>的采集与处理总时间，同时使核数量密度和中位核面积的相对误差保持在</w:t>
      </w:r>
      <w:r>
        <w:t xml:space="preserve"> 10% </w:t>
      </w:r>
      <w:r>
        <w:t>以内。以上数值为设计目标，将在预实验后依据参考扫描的重复性确定最终阈值。</w:t>
      </w:r>
    </w:p>
    <w:p w14:paraId="33CF579C" w14:textId="77777777" w:rsidR="00083EFA" w:rsidRDefault="00000000">
      <w:pPr>
        <w:spacing w:before="100" w:after="40"/>
      </w:pPr>
      <w:r>
        <w:rPr>
          <w:rFonts w:eastAsia="SimHei"/>
          <w:b/>
          <w:bCs/>
          <w:sz w:val="23"/>
          <w:szCs w:val="23"/>
        </w:rPr>
        <w:t>前期基础（</w:t>
      </w:r>
      <w:r>
        <w:rPr>
          <w:rFonts w:eastAsia="SimHei"/>
          <w:b/>
          <w:bCs/>
          <w:sz w:val="23"/>
          <w:szCs w:val="23"/>
        </w:rPr>
        <w:t>Preliminary Work</w:t>
      </w:r>
      <w:r>
        <w:rPr>
          <w:rFonts w:eastAsia="SimHei"/>
          <w:b/>
          <w:bCs/>
          <w:sz w:val="23"/>
          <w:szCs w:val="23"/>
        </w:rPr>
        <w:t>）</w:t>
      </w:r>
    </w:p>
    <w:p w14:paraId="3460DB6E" w14:textId="7D947A15" w:rsidR="00083EFA" w:rsidRDefault="00000000">
      <w:pPr>
        <w:spacing w:after="40" w:line="276" w:lineRule="auto"/>
        <w:jc w:val="both"/>
      </w:pPr>
      <w:r>
        <w:t>我目前在</w:t>
      </w:r>
      <w:r>
        <w:t xml:space="preserve"> Rui Cao </w:t>
      </w:r>
      <w:r>
        <w:t>实验室参与</w:t>
      </w:r>
      <w:r>
        <w:t xml:space="preserve"> UV-PAM </w:t>
      </w:r>
      <w:r>
        <w:t>系统的扫描控制开发</w:t>
      </w:r>
      <w:r w:rsidR="00B46CA6">
        <w:rPr>
          <w:rFonts w:hint="eastAsia"/>
        </w:rPr>
        <w:t>。</w:t>
      </w:r>
      <w:r w:rsidR="00B46CA6">
        <w:t>我目前在</w:t>
      </w:r>
      <w:r w:rsidR="00B46CA6">
        <w:t xml:space="preserve"> Rui Cao </w:t>
      </w:r>
      <w:r w:rsidR="00B46CA6">
        <w:t>实验室负责光声显微系统的扫描控制与信号采集调试。我梳理了现有</w:t>
      </w:r>
      <w:r w:rsidR="00B46CA6">
        <w:t xml:space="preserve"> LabVIEW </w:t>
      </w:r>
      <w:r w:rsidR="00B46CA6">
        <w:t>程序中电机步进、激光触发与</w:t>
      </w:r>
      <w:r w:rsidR="00B46CA6">
        <w:t xml:space="preserve"> DAQ </w:t>
      </w:r>
      <w:r w:rsidR="00B46CA6">
        <w:t>采集之间的时序关系，</w:t>
      </w:r>
      <w:r w:rsidR="00B46CA6">
        <w:t>[</w:t>
      </w:r>
      <w:r w:rsidR="00B46CA6">
        <w:t>已能解释</w:t>
      </w:r>
      <w:r w:rsidR="00B46CA6">
        <w:t>/</w:t>
      </w:r>
      <w:r w:rsidR="00B46CA6">
        <w:t>已验证</w:t>
      </w:r>
      <w:r w:rsidR="00B46CA6">
        <w:t xml:space="preserve">] </w:t>
      </w:r>
      <w:r w:rsidR="00B46CA6">
        <w:t>每条扫描线中触发脉冲数、扫描位置数与采集缓冲区长度之间的对应关系，并在台架上获得了</w:t>
      </w:r>
      <w:r w:rsidR="00B46CA6">
        <w:t xml:space="preserve"> A-line </w:t>
      </w:r>
      <w:r w:rsidR="00B46CA6">
        <w:t>光声信号。目前我正在排查</w:t>
      </w:r>
      <w:r w:rsidR="00B46CA6">
        <w:t xml:space="preserve"> A-line </w:t>
      </w:r>
      <w:r w:rsidR="00B46CA6">
        <w:t>信号噪声的来源，下一步将实现</w:t>
      </w:r>
      <w:r w:rsidR="00B46CA6">
        <w:t xml:space="preserve"> B-scan </w:t>
      </w:r>
      <w:r w:rsidR="00B46CA6">
        <w:t>成像，并在体模上测量系统的横向分辨率和</w:t>
      </w:r>
      <w:r w:rsidR="00B46CA6">
        <w:t xml:space="preserve"> CNR</w:t>
      </w:r>
      <w:r w:rsidR="00B46CA6">
        <w:rPr>
          <w:rFonts w:ascii="SimSun" w:hAnsi="SimSun" w:cs="SimSun" w:hint="eastAsia"/>
        </w:rPr>
        <w:t>。</w:t>
      </w:r>
      <w:r>
        <w:t>此前，我在</w:t>
      </w:r>
      <w:r>
        <w:t xml:space="preserve"> ECMO </w:t>
      </w:r>
      <w:r>
        <w:t>外部质量检测项目中独立搭建了压力、温度、流量三接口测试系统，建立了可重复的测量流程；在</w:t>
      </w:r>
      <w:r>
        <w:t xml:space="preserve"> fMRI </w:t>
      </w:r>
      <w:r>
        <w:t>项目中建立了数据质控流程，并用</w:t>
      </w:r>
      <w:r>
        <w:t xml:space="preserve"> R-hat </w:t>
      </w:r>
      <w:r>
        <w:t>检验贝叶斯模型的收敛。这些经历与本项目对测量可靠性和质量控制的要求直接对应。</w:t>
      </w:r>
    </w:p>
    <w:p w14:paraId="02CEEA0D" w14:textId="77777777" w:rsidR="00083EFA" w:rsidRDefault="00000000">
      <w:pPr>
        <w:spacing w:before="100" w:after="40"/>
      </w:pPr>
      <w:r>
        <w:rPr>
          <w:rFonts w:eastAsia="SimHei"/>
          <w:b/>
          <w:bCs/>
          <w:sz w:val="23"/>
          <w:szCs w:val="23"/>
        </w:rPr>
        <w:t>Aim 1</w:t>
      </w:r>
      <w:r>
        <w:rPr>
          <w:rFonts w:eastAsia="SimHei"/>
          <w:b/>
          <w:bCs/>
          <w:sz w:val="23"/>
          <w:szCs w:val="23"/>
        </w:rPr>
        <w:t>：建立质量反馈驱动的采集方法</w:t>
      </w:r>
    </w:p>
    <w:p w14:paraId="56F59517" w14:textId="77777777" w:rsidR="00083EFA" w:rsidRDefault="00000000">
      <w:pPr>
        <w:spacing w:after="40" w:line="276" w:lineRule="auto"/>
        <w:jc w:val="both"/>
      </w:pPr>
      <w:r>
        <w:rPr>
          <w:b/>
          <w:bCs/>
        </w:rPr>
        <w:t>依据：</w:t>
      </w:r>
      <w:r>
        <w:t>单次扫描速度不能反映失焦和重扫带来的实际时间开销。</w:t>
      </w:r>
      <w:r>
        <w:rPr>
          <w:b/>
          <w:bCs/>
        </w:rPr>
        <w:t>方法：</w:t>
      </w:r>
      <w:r>
        <w:t>先校准触发、电机运动与数据采集的时序；在已知尺寸的吸收体模上测量分辨率、</w:t>
      </w:r>
      <w:r>
        <w:t xml:space="preserve">CNR </w:t>
      </w:r>
      <w:r>
        <w:t>和定位误差，确定质量指标（聚焦清晰度、</w:t>
      </w:r>
      <w:r>
        <w:t>CNR</w:t>
      </w:r>
      <w:r>
        <w:t>）的阈值。采集时由</w:t>
      </w:r>
      <w:r>
        <w:t xml:space="preserve"> LabVIEW </w:t>
      </w:r>
      <w:r>
        <w:t>实时计算每个子区域的质量指标，对不合格区域执行局部重新对焦或增加平均次数。将该方案与</w:t>
      </w:r>
      <w:r>
        <w:t>“</w:t>
      </w:r>
      <w:r>
        <w:t>全区域高质量扫描</w:t>
      </w:r>
      <w:r>
        <w:t>”</w:t>
      </w:r>
      <w:r>
        <w:t>和</w:t>
      </w:r>
      <w:r>
        <w:t>“</w:t>
      </w:r>
      <w:r>
        <w:t>固定快速扫描</w:t>
      </w:r>
      <w:r>
        <w:t>”</w:t>
      </w:r>
      <w:r>
        <w:t>进行比较，保持视野、采样间距和激光能量一致。</w:t>
      </w:r>
      <w:r>
        <w:rPr>
          <w:b/>
          <w:bCs/>
        </w:rPr>
        <w:t>预期结果：</w:t>
      </w:r>
      <w:r>
        <w:t>得到</w:t>
      </w:r>
      <w:r>
        <w:t>“</w:t>
      </w:r>
      <w:r>
        <w:t>合格面积</w:t>
      </w:r>
      <w:r>
        <w:t>—</w:t>
      </w:r>
      <w:r>
        <w:t>总时间</w:t>
      </w:r>
      <w:r>
        <w:t>”</w:t>
      </w:r>
      <w:r>
        <w:t>曲线，检验省时是否真正来自有效补扫。</w:t>
      </w:r>
      <w:r>
        <w:rPr>
          <w:b/>
          <w:bCs/>
        </w:rPr>
        <w:t>风险与备选：</w:t>
      </w:r>
      <w:r>
        <w:t>细胞稀疏区域可能被误判为低质量，将用体模标定并随机抽查未标记区域；若实时反馈太慢，则改为先分块整体扫描、再集中补扫。</w:t>
      </w:r>
    </w:p>
    <w:p w14:paraId="26657F2E" w14:textId="77777777" w:rsidR="00083EFA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105F0BB5" wp14:editId="2950D561">
            <wp:extent cx="5715000" cy="581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E0CE" w14:textId="77777777" w:rsidR="00083EFA" w:rsidRDefault="00000000">
      <w:pPr>
        <w:spacing w:after="60"/>
        <w:jc w:val="center"/>
      </w:pPr>
      <w:r>
        <w:rPr>
          <w:sz w:val="18"/>
          <w:szCs w:val="18"/>
        </w:rPr>
        <w:t>图</w:t>
      </w:r>
      <w:r>
        <w:rPr>
          <w:sz w:val="18"/>
          <w:szCs w:val="18"/>
        </w:rPr>
        <w:t xml:space="preserve"> 1</w:t>
      </w:r>
      <w:r>
        <w:rPr>
          <w:sz w:val="18"/>
          <w:szCs w:val="18"/>
        </w:rPr>
        <w:t>｜拟议研究流程（原创示意）；已有成像技术基础见文献</w:t>
      </w:r>
      <w:r>
        <w:rPr>
          <w:sz w:val="18"/>
          <w:szCs w:val="18"/>
        </w:rPr>
        <w:t xml:space="preserve"> [1,2]</w:t>
      </w:r>
      <w:r>
        <w:rPr>
          <w:sz w:val="18"/>
          <w:szCs w:val="18"/>
        </w:rPr>
        <w:t>。</w:t>
      </w:r>
    </w:p>
    <w:p w14:paraId="34D8F130" w14:textId="77777777" w:rsidR="00083EFA" w:rsidRDefault="00000000">
      <w:pPr>
        <w:spacing w:before="100" w:after="40"/>
      </w:pPr>
      <w:r>
        <w:rPr>
          <w:rFonts w:eastAsia="SimHei"/>
          <w:b/>
          <w:bCs/>
          <w:sz w:val="23"/>
          <w:szCs w:val="23"/>
        </w:rPr>
        <w:lastRenderedPageBreak/>
        <w:t>Aim 2</w:t>
      </w:r>
      <w:r>
        <w:rPr>
          <w:rFonts w:eastAsia="SimHei"/>
          <w:b/>
          <w:bCs/>
          <w:sz w:val="23"/>
          <w:szCs w:val="23"/>
        </w:rPr>
        <w:t>：量化采集质量对核形态测量的影响</w:t>
      </w:r>
    </w:p>
    <w:p w14:paraId="01A99AAE" w14:textId="77777777" w:rsidR="00083EFA" w:rsidRDefault="00000000">
      <w:pPr>
        <w:spacing w:after="40" w:line="276" w:lineRule="auto"/>
        <w:jc w:val="both"/>
      </w:pPr>
      <w:r>
        <w:rPr>
          <w:b/>
          <w:bCs/>
        </w:rPr>
        <w:t>依据：</w:t>
      </w:r>
      <w:r>
        <w:t>图像看起来清晰或虚拟染色逼真，并不代表细胞核的数量和大小测得准确。</w:t>
      </w:r>
      <w:r>
        <w:rPr>
          <w:b/>
          <w:bCs/>
        </w:rPr>
        <w:t>方法：</w:t>
      </w:r>
      <w:r>
        <w:t>在原始光声图像上人工标注细胞核，建立分割基准；用自动分割算法计算核检出率、误检率、核密度和核面积分布；比较不同噪声、失焦和补扫条件下的测量误差，检验质量指标能否预测误差大小。</w:t>
      </w:r>
      <w:r>
        <w:rPr>
          <w:b/>
          <w:bCs/>
        </w:rPr>
        <w:t>预期结果：</w:t>
      </w:r>
      <w:r>
        <w:t>得到带质量标记的核形态图，明确在什么条件下测量可靠、什么条件下会失败。</w:t>
      </w:r>
      <w:r>
        <w:rPr>
          <w:b/>
          <w:bCs/>
        </w:rPr>
        <w:t>风险与备选：</w:t>
      </w:r>
      <w:r>
        <w:t>厚组织中的细胞核重叠会限制二维分割，将利用分层体模和薄层样品区分光学、轴向重叠和算法各自带来的误差，并报告被排除区域的比例。</w:t>
      </w:r>
    </w:p>
    <w:p w14:paraId="629FA953" w14:textId="77777777" w:rsidR="00083EFA" w:rsidRDefault="00000000">
      <w:pPr>
        <w:spacing w:before="100" w:after="40"/>
      </w:pPr>
      <w:r>
        <w:rPr>
          <w:rFonts w:eastAsia="SimHei"/>
          <w:b/>
          <w:bCs/>
          <w:sz w:val="23"/>
          <w:szCs w:val="23"/>
        </w:rPr>
        <w:t>Aim 3</w:t>
      </w:r>
      <w:r>
        <w:rPr>
          <w:rFonts w:eastAsia="SimHei"/>
          <w:b/>
          <w:bCs/>
          <w:sz w:val="23"/>
          <w:szCs w:val="23"/>
        </w:rPr>
        <w:t>：与</w:t>
      </w:r>
      <w:r>
        <w:rPr>
          <w:rFonts w:eastAsia="SimHei"/>
          <w:b/>
          <w:bCs/>
          <w:sz w:val="23"/>
          <w:szCs w:val="23"/>
        </w:rPr>
        <w:t xml:space="preserve"> H&amp;E </w:t>
      </w:r>
      <w:r>
        <w:rPr>
          <w:rFonts w:eastAsia="SimHei"/>
          <w:b/>
          <w:bCs/>
          <w:sz w:val="23"/>
          <w:szCs w:val="23"/>
        </w:rPr>
        <w:t>组织学进行基准验证</w:t>
      </w:r>
    </w:p>
    <w:p w14:paraId="222FC420" w14:textId="77777777" w:rsidR="00083EFA" w:rsidRDefault="00000000">
      <w:pPr>
        <w:spacing w:after="40" w:line="276" w:lineRule="auto"/>
        <w:jc w:val="both"/>
      </w:pPr>
      <w:r>
        <w:rPr>
          <w:b/>
          <w:bCs/>
        </w:rPr>
        <w:t>依据：</w:t>
      </w:r>
      <w:r>
        <w:t>同一区域的可重复性和不同标本之间的可靠性需要分别验证。</w:t>
      </w:r>
      <w:r>
        <w:rPr>
          <w:b/>
          <w:bCs/>
        </w:rPr>
        <w:t>方法：</w:t>
      </w:r>
      <w:r>
        <w:t>实验室目前正在申请新鲜组织来源和病理合作。在此之前，先在可获得的离体动物组织上完成</w:t>
      </w:r>
      <w:r>
        <w:t xml:space="preserve">“UV-PAM </w:t>
      </w:r>
      <w:r>
        <w:t>扫描后再做</w:t>
      </w:r>
      <w:r>
        <w:t xml:space="preserve"> H&amp;E </w:t>
      </w:r>
      <w:r>
        <w:t>切片</w:t>
      </w:r>
      <w:r>
        <w:t>”</w:t>
      </w:r>
      <w:r>
        <w:t>的配对实验；条件具备后扩展到新鲜乳腺组织。按独立标本划分调参集和测试集，测试前固定算法和阈值。通过组织地标将</w:t>
      </w:r>
      <w:r>
        <w:t xml:space="preserve"> UV-PAM </w:t>
      </w:r>
      <w:r>
        <w:t>图像与</w:t>
      </w:r>
      <w:r>
        <w:t xml:space="preserve"> H&amp;E </w:t>
      </w:r>
      <w:r>
        <w:t>配准，比较对应区域的核密度和核面积，用</w:t>
      </w:r>
      <w:r>
        <w:t xml:space="preserve"> Bland–Altman </w:t>
      </w:r>
      <w:r>
        <w:t>分析报告偏差和一致性界限。</w:t>
      </w:r>
      <w:r>
        <w:rPr>
          <w:b/>
          <w:bCs/>
        </w:rPr>
        <w:t>预期结果：</w:t>
      </w:r>
      <w:r>
        <w:t>得到跨标本的</w:t>
      </w:r>
      <w:r>
        <w:t>“</w:t>
      </w:r>
      <w:r>
        <w:t>速度</w:t>
      </w:r>
      <w:r>
        <w:t>—</w:t>
      </w:r>
      <w:r>
        <w:t>误差</w:t>
      </w:r>
      <w:r>
        <w:t>”</w:t>
      </w:r>
      <w:r>
        <w:t>关系，并报告从装样、扫描、补扫到分析的完整耗时。</w:t>
      </w:r>
      <w:r>
        <w:rPr>
          <w:b/>
          <w:bCs/>
        </w:rPr>
        <w:t>风险与备选：</w:t>
      </w:r>
      <w:r>
        <w:t>固定和切片会使组织收缩，将记录处理步骤、比较相邻切片，并把配准误差与成像误差分开讨论；若短期内无法获得乳腺组织，本</w:t>
      </w:r>
      <w:r>
        <w:t xml:space="preserve"> Aim </w:t>
      </w:r>
      <w:r>
        <w:t>的方法验证仍可在动物组织上完成。</w:t>
      </w:r>
    </w:p>
    <w:p w14:paraId="1D83BEF1" w14:textId="77777777" w:rsidR="00083EFA" w:rsidRDefault="00000000">
      <w:pPr>
        <w:spacing w:before="100" w:after="40"/>
      </w:pPr>
      <w:r>
        <w:rPr>
          <w:rFonts w:eastAsia="SimHei"/>
          <w:b/>
          <w:bCs/>
          <w:sz w:val="23"/>
          <w:szCs w:val="23"/>
        </w:rPr>
        <w:t>Intellectual Merit</w:t>
      </w:r>
    </w:p>
    <w:p w14:paraId="6240E9AF" w14:textId="77777777" w:rsidR="00083EFA" w:rsidRDefault="00000000">
      <w:pPr>
        <w:spacing w:after="40" w:line="276" w:lineRule="auto"/>
        <w:jc w:val="both"/>
      </w:pPr>
      <w:r>
        <w:t>本研究将</w:t>
      </w:r>
      <w:r>
        <w:t>“</w:t>
      </w:r>
      <w:r>
        <w:t>采集质量</w:t>
      </w:r>
      <w:r>
        <w:t>—</w:t>
      </w:r>
      <w:r>
        <w:t>核形态误差</w:t>
      </w:r>
      <w:r>
        <w:t>—</w:t>
      </w:r>
      <w:r>
        <w:t>局部补扫</w:t>
      </w:r>
      <w:r>
        <w:t>”</w:t>
      </w:r>
      <w:r>
        <w:t>联系起来，让成像系统根据测量可靠性分配扫描时间，而不是对所有区域平均用力。通过对照实验和独立标本验证，本研究将说明质量反馈在什么情况下能提速、在什么情况下受轴向重叠限制，为快速无标记显微成像提供可复用的设计原则。这一思路也可推广到其他扫描式显微成像系统。</w:t>
      </w:r>
    </w:p>
    <w:p w14:paraId="6F51B903" w14:textId="77777777" w:rsidR="00083EFA" w:rsidRDefault="00000000">
      <w:pPr>
        <w:spacing w:before="100" w:after="40"/>
      </w:pPr>
      <w:r>
        <w:rPr>
          <w:rFonts w:eastAsia="SimHei"/>
          <w:b/>
          <w:bCs/>
          <w:sz w:val="23"/>
          <w:szCs w:val="23"/>
        </w:rPr>
        <w:t>Broader Impacts</w:t>
      </w:r>
    </w:p>
    <w:p w14:paraId="2D338B26" w14:textId="77777777" w:rsidR="00083EFA" w:rsidRDefault="00000000">
      <w:pPr>
        <w:spacing w:after="40" w:line="276" w:lineRule="auto"/>
        <w:jc w:val="both"/>
      </w:pPr>
      <w:r>
        <w:rPr>
          <w:b/>
          <w:bCs/>
        </w:rPr>
        <w:t>临床意义：</w:t>
      </w:r>
      <w:r>
        <w:t>更可靠的快速组织评估有望帮助降低保乳手术的二次手术率，减轻患者的身体、心理和经济负担。</w:t>
      </w:r>
      <w:r>
        <w:rPr>
          <w:b/>
          <w:bCs/>
        </w:rPr>
        <w:t>开放科学：</w:t>
      </w:r>
      <w:r>
        <w:t>我将在允许范围内公开分析代码、体模测试流程和示例数据。</w:t>
      </w:r>
      <w:r>
        <w:rPr>
          <w:b/>
          <w:bCs/>
        </w:rPr>
        <w:t>教育与科普：</w:t>
      </w:r>
      <w:r>
        <w:t>我曾在</w:t>
      </w:r>
      <w:r>
        <w:t xml:space="preserve"> MIT MITES Summer </w:t>
      </w:r>
      <w:r>
        <w:t>项目中担任助教，为</w:t>
      </w:r>
      <w:r>
        <w:t xml:space="preserve"> 30 </w:t>
      </w:r>
      <w:r>
        <w:t>多名来自</w:t>
      </w:r>
      <w:r>
        <w:t xml:space="preserve"> STEM </w:t>
      </w:r>
      <w:r>
        <w:t>代表性不足群体的高中生讲授生物与遗传学并指导实验。研究生期间，我计划：</w:t>
      </w:r>
      <w:r>
        <w:t xml:space="preserve">(1) </w:t>
      </w:r>
      <w:r>
        <w:t>招募并指导</w:t>
      </w:r>
      <w:r>
        <w:t xml:space="preserve"> 1–2 </w:t>
      </w:r>
      <w:r>
        <w:t>名本科生（优先考虑第一代大学生和</w:t>
      </w:r>
      <w:r>
        <w:t xml:space="preserve"> STEM </w:t>
      </w:r>
      <w:r>
        <w:t>代表性不足群体的学生）参与扫描同步与图像质量实验；</w:t>
      </w:r>
      <w:r>
        <w:t xml:space="preserve">(2) </w:t>
      </w:r>
      <w:r>
        <w:t>基于本项目开发一个面向本科生的教学实验模块，用前后测评估学习效果；</w:t>
      </w:r>
      <w:r>
        <w:t xml:space="preserve">(3) </w:t>
      </w:r>
      <w:r>
        <w:t>通过校园开放日或社区活动，用</w:t>
      </w:r>
      <w:r>
        <w:t>“</w:t>
      </w:r>
      <w:r>
        <w:t>用光</w:t>
      </w:r>
      <w:r>
        <w:t>‘</w:t>
      </w:r>
      <w:r>
        <w:t>听见</w:t>
      </w:r>
      <w:r>
        <w:t>’</w:t>
      </w:r>
      <w:r>
        <w:t>细胞</w:t>
      </w:r>
      <w:r>
        <w:t>”</w:t>
      </w:r>
      <w:r>
        <w:t>的互动演示，向中学生和公众介绍光声成像。</w:t>
      </w:r>
    </w:p>
    <w:p w14:paraId="2D6DE93A" w14:textId="77777777" w:rsidR="00083EFA" w:rsidRDefault="00000000">
      <w:pPr>
        <w:spacing w:before="100" w:after="40"/>
      </w:pPr>
      <w:r>
        <w:rPr>
          <w:rFonts w:eastAsia="SimHei"/>
          <w:b/>
          <w:bCs/>
          <w:sz w:val="23"/>
          <w:szCs w:val="23"/>
        </w:rPr>
        <w:t>参考文献（</w:t>
      </w:r>
      <w:r>
        <w:rPr>
          <w:rFonts w:eastAsia="SimHei"/>
          <w:b/>
          <w:bCs/>
          <w:sz w:val="23"/>
          <w:szCs w:val="23"/>
        </w:rPr>
        <w:t>References</w:t>
      </w:r>
      <w:r>
        <w:rPr>
          <w:rFonts w:eastAsia="SimHei"/>
          <w:b/>
          <w:bCs/>
          <w:sz w:val="23"/>
          <w:szCs w:val="23"/>
        </w:rPr>
        <w:t>）</w:t>
      </w:r>
    </w:p>
    <w:p w14:paraId="6C99274A" w14:textId="77777777" w:rsidR="00083EFA" w:rsidRDefault="00000000">
      <w:pPr>
        <w:jc w:val="both"/>
      </w:pPr>
      <w:r>
        <w:t>[1] Cao R et al. Sci. Adv. 2024;10:eado0518.</w:t>
      </w:r>
    </w:p>
    <w:p w14:paraId="4A853E30" w14:textId="77777777" w:rsidR="00083EFA" w:rsidRDefault="00000000">
      <w:pPr>
        <w:jc w:val="both"/>
      </w:pPr>
      <w:r>
        <w:t>[2] Cao R et al. Nat. Biomed. Eng. 2023;7:124–134.</w:t>
      </w:r>
    </w:p>
    <w:p w14:paraId="74AF9E76" w14:textId="77777777" w:rsidR="00083EFA" w:rsidRDefault="00000000">
      <w:pPr>
        <w:jc w:val="both"/>
      </w:pPr>
      <w:r>
        <w:t>[3] McCahill LE et al. Variability in reexcision following breast conservation surgery. JAMA. 2012;307(5):467–475.</w:t>
      </w:r>
    </w:p>
    <w:sectPr w:rsidR="00083E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0F5E70"/>
    <w:multiLevelType w:val="hybridMultilevel"/>
    <w:tmpl w:val="5108F6AE"/>
    <w:lvl w:ilvl="0" w:tplc="37FACDFA">
      <w:start w:val="1"/>
      <w:numFmt w:val="bullet"/>
      <w:lvlText w:val="●"/>
      <w:lvlJc w:val="left"/>
      <w:pPr>
        <w:ind w:left="720" w:hanging="360"/>
      </w:pPr>
    </w:lvl>
    <w:lvl w:ilvl="1" w:tplc="8F843730">
      <w:start w:val="1"/>
      <w:numFmt w:val="bullet"/>
      <w:lvlText w:val="○"/>
      <w:lvlJc w:val="left"/>
      <w:pPr>
        <w:ind w:left="1440" w:hanging="360"/>
      </w:pPr>
    </w:lvl>
    <w:lvl w:ilvl="2" w:tplc="B77EEE4C">
      <w:start w:val="1"/>
      <w:numFmt w:val="bullet"/>
      <w:lvlText w:val="■"/>
      <w:lvlJc w:val="left"/>
      <w:pPr>
        <w:ind w:left="2160" w:hanging="360"/>
      </w:pPr>
    </w:lvl>
    <w:lvl w:ilvl="3" w:tplc="7F9286CC">
      <w:start w:val="1"/>
      <w:numFmt w:val="bullet"/>
      <w:lvlText w:val="●"/>
      <w:lvlJc w:val="left"/>
      <w:pPr>
        <w:ind w:left="2880" w:hanging="360"/>
      </w:pPr>
    </w:lvl>
    <w:lvl w:ilvl="4" w:tplc="D338A584">
      <w:start w:val="1"/>
      <w:numFmt w:val="bullet"/>
      <w:lvlText w:val="○"/>
      <w:lvlJc w:val="left"/>
      <w:pPr>
        <w:ind w:left="3600" w:hanging="360"/>
      </w:pPr>
    </w:lvl>
    <w:lvl w:ilvl="5" w:tplc="4FE6B9AA">
      <w:start w:val="1"/>
      <w:numFmt w:val="bullet"/>
      <w:lvlText w:val="■"/>
      <w:lvlJc w:val="left"/>
      <w:pPr>
        <w:ind w:left="4320" w:hanging="360"/>
      </w:pPr>
    </w:lvl>
    <w:lvl w:ilvl="6" w:tplc="220C93D4">
      <w:start w:val="1"/>
      <w:numFmt w:val="bullet"/>
      <w:lvlText w:val="●"/>
      <w:lvlJc w:val="left"/>
      <w:pPr>
        <w:ind w:left="5040" w:hanging="360"/>
      </w:pPr>
    </w:lvl>
    <w:lvl w:ilvl="7" w:tplc="9B6CE9A4">
      <w:start w:val="1"/>
      <w:numFmt w:val="bullet"/>
      <w:lvlText w:val="●"/>
      <w:lvlJc w:val="left"/>
      <w:pPr>
        <w:ind w:left="5760" w:hanging="360"/>
      </w:pPr>
    </w:lvl>
    <w:lvl w:ilvl="8" w:tplc="D73EEBC2">
      <w:start w:val="1"/>
      <w:numFmt w:val="bullet"/>
      <w:lvlText w:val="●"/>
      <w:lvlJc w:val="left"/>
      <w:pPr>
        <w:ind w:left="6480" w:hanging="360"/>
      </w:pPr>
    </w:lvl>
  </w:abstractNum>
  <w:num w:numId="1" w16cid:durableId="2086996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EFA"/>
    <w:rsid w:val="00083EFA"/>
    <w:rsid w:val="00B46CA6"/>
    <w:rsid w:val="00ED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6067E"/>
  <w15:docId w15:val="{8068154B-1D2C-A449-87CB-95F692A4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sz w:val="21"/>
        <w:szCs w:val="21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Chen, Yumeng</cp:lastModifiedBy>
  <cp:revision>2</cp:revision>
  <dcterms:created xsi:type="dcterms:W3CDTF">2026-09-25T00:52:00Z</dcterms:created>
  <dcterms:modified xsi:type="dcterms:W3CDTF">2026-09-25T01:11:00Z</dcterms:modified>
</cp:coreProperties>
</file>