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5CE" w:rsidRDefault="00F36D69">
      <w:pPr>
        <w:spacing w:line="360" w:lineRule="auto"/>
        <w:jc w:val="center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标准测试方案</w:t>
      </w:r>
    </w:p>
    <w:p w:rsidR="005E65CE" w:rsidRDefault="00F36D69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采用专用测试水槽，水槽储水深度不低于船底与船甲板最大高度平均值的2倍，即不低于</w:t>
      </w:r>
      <w:r>
        <w:rPr>
          <w:rFonts w:ascii="Times New Roman" w:eastAsia="Malgun Gothic" w:hAnsi="Times New Roman" w:cs="Times New Roman"/>
          <w:sz w:val="24"/>
          <w:szCs w:val="24"/>
        </w:rPr>
        <w:t>~</w:t>
      </w:r>
      <w:r>
        <w:rPr>
          <w:rFonts w:ascii="宋体" w:eastAsia="宋体" w:hAnsi="宋体" w:cs="宋体" w:hint="eastAsia"/>
          <w:sz w:val="24"/>
          <w:szCs w:val="24"/>
        </w:rPr>
        <w:t>35 cm；水面长度、宽度不小于船底与桅杆顶端距离的1.5倍，即</w:t>
      </w:r>
      <w:r>
        <w:rPr>
          <w:rFonts w:ascii="Times New Roman" w:eastAsia="Malgun Gothic" w:hAnsi="Times New Roman" w:cs="Times New Roman"/>
          <w:sz w:val="24"/>
          <w:szCs w:val="24"/>
        </w:rPr>
        <w:t>~</w:t>
      </w:r>
      <w:r>
        <w:rPr>
          <w:rFonts w:ascii="宋体" w:eastAsia="宋体" w:hAnsi="宋体" w:cs="宋体" w:hint="eastAsia"/>
          <w:sz w:val="24"/>
          <w:szCs w:val="24"/>
        </w:rPr>
        <w:t>75 cm。</w:t>
      </w:r>
    </w:p>
    <w:p w:rsidR="005E65CE" w:rsidRDefault="00F36D69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i/>
          <w:iCs/>
          <w:sz w:val="24"/>
          <w:szCs w:val="24"/>
        </w:rPr>
        <w:t>静平衡测试：</w:t>
      </w:r>
      <w:r>
        <w:rPr>
          <w:rFonts w:ascii="宋体" w:eastAsia="宋体" w:hAnsi="宋体" w:cs="宋体" w:hint="eastAsia"/>
          <w:sz w:val="24"/>
          <w:szCs w:val="24"/>
        </w:rPr>
        <w:t>水槽内侧粘贴与静止水面平行的五条标识线。船满载时放入水中，能够漂浮，且甲板平面与标识线平行。</w:t>
      </w:r>
    </w:p>
    <w:p w:rsidR="005E65CE" w:rsidRDefault="00F36D6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若船能浮在水面上，合格；沉没水中，不合格。能浮在水面上，且其中甲板与平行标识线完全平行至倾斜角小于10°的，该项满分；倾斜角大于10°小于30°，良好。</w:t>
      </w:r>
    </w:p>
    <w:p w:rsidR="005E65CE" w:rsidRDefault="00F36D6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放船者为固定一位教师/助教，或每船主人。比照标识线利用人眼作倾斜评价者为固定一位教师/助教，以降低随机误差。以下测试项目同。</w:t>
      </w:r>
    </w:p>
    <w:p w:rsidR="005E65CE" w:rsidRDefault="00F36D6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该静平衡为永久平衡，当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有倾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斜或下沉迹象的，应适当延长观测时间(</w:t>
      </w:r>
      <w:r>
        <w:rPr>
          <w:rFonts w:ascii="Times New Roman" w:eastAsia="宋体" w:hAnsi="Times New Roman" w:cs="Times New Roman"/>
          <w:sz w:val="24"/>
          <w:szCs w:val="24"/>
        </w:rPr>
        <w:t>~</w:t>
      </w:r>
      <w:r>
        <w:rPr>
          <w:rFonts w:ascii="宋体" w:eastAsia="宋体" w:hAnsi="宋体" w:cs="宋体" w:hint="eastAsia"/>
          <w:sz w:val="24"/>
          <w:szCs w:val="24"/>
        </w:rPr>
        <w:t>20 s)，以最终结果为准。</w:t>
      </w:r>
    </w:p>
    <w:p w:rsidR="005E65CE" w:rsidRDefault="00F36D69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i/>
          <w:iCs/>
          <w:sz w:val="24"/>
          <w:szCs w:val="24"/>
        </w:rPr>
        <w:t>稳定性测试：</w:t>
      </w:r>
      <w:r>
        <w:rPr>
          <w:rFonts w:ascii="宋体" w:eastAsia="宋体" w:hAnsi="宋体" w:cs="宋体" w:hint="eastAsia"/>
          <w:sz w:val="24"/>
          <w:szCs w:val="24"/>
        </w:rPr>
        <w:t>主要观测稳性消失角是否达到135±10°。水槽内侧粘贴五条135°标识线。测试者用手掌从桅杆中部将船按压，至桅杆与任一条135°标识线平行，无初速度释放。小船能够反向回复的，合格；小船倾覆下沉的，不合格。</w:t>
      </w:r>
    </w:p>
    <w:p w:rsidR="005E65CE" w:rsidRDefault="00F36D69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i/>
          <w:iCs/>
          <w:sz w:val="24"/>
          <w:szCs w:val="24"/>
        </w:rPr>
        <w:t>最大恢复力矩测试</w:t>
      </w:r>
      <w:r>
        <w:rPr>
          <w:rFonts w:ascii="宋体" w:eastAsia="宋体" w:hAnsi="宋体" w:cs="宋体" w:hint="eastAsia"/>
          <w:sz w:val="24"/>
          <w:szCs w:val="24"/>
        </w:rPr>
        <w:t>（选测）</w:t>
      </w:r>
      <w:r>
        <w:rPr>
          <w:rFonts w:ascii="宋体" w:eastAsia="宋体" w:hAnsi="宋体" w:cs="宋体" w:hint="eastAsia"/>
          <w:b/>
          <w:bCs/>
          <w:i/>
          <w:iCs/>
          <w:sz w:val="24"/>
          <w:szCs w:val="24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可以与3.稳定性测试同时进行，准备两只秒表（不低于0.1秒精度），记作秒表A、B。用秒表A记录完成第1个周期性摆动需要的时间，秒表B记录完成前3个周期性摆动需要的时间，重复实验六次。得到摆动周期最小值T。</w:t>
      </w:r>
    </w:p>
    <w:p w:rsidR="005E65CE" w:rsidRDefault="00F36D69">
      <w:p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定性：T值越小，恢复力矩越大。</w:t>
      </w:r>
    </w:p>
    <w:p w:rsidR="005E65CE" w:rsidRDefault="00F36D6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定量： 根据135°倾角时围绕浮心的转动惯量J（单位用kg</w:t>
      </w:r>
      <w:r>
        <w:rPr>
          <w:rFonts w:ascii="Malgun Gothic" w:eastAsia="Malgun Gothic" w:hAnsi="Malgun Gothic" w:cs="Malgun Gothic" w:hint="eastAsia"/>
          <w:sz w:val="24"/>
          <w:szCs w:val="24"/>
        </w:rPr>
        <w:t>·</w:t>
      </w:r>
      <w:r>
        <w:rPr>
          <w:rFonts w:ascii="宋体" w:eastAsia="宋体" w:hAnsi="宋体" w:cs="宋体" w:hint="eastAsia"/>
          <w:sz w:val="24"/>
          <w:szCs w:val="24"/>
        </w:rPr>
        <w:t>m</w:t>
      </w:r>
      <w:r>
        <w:rPr>
          <w:rFonts w:ascii="宋体" w:eastAsia="宋体" w:hAnsi="宋体" w:cs="宋体" w:hint="eastAsia"/>
          <w:sz w:val="24"/>
          <w:szCs w:val="24"/>
          <w:vertAlign w:val="superscript"/>
        </w:rPr>
        <w:t>2</w:t>
      </w:r>
      <w:r>
        <w:rPr>
          <w:rFonts w:ascii="宋体" w:eastAsia="宋体" w:hAnsi="宋体" w:cs="宋体" w:hint="eastAsia"/>
          <w:sz w:val="24"/>
          <w:szCs w:val="24"/>
        </w:rPr>
        <w:t>)和测量所得周期T(单位用s),计算得到该船的最大恢复力矩值，大于或等于0.2 N</w:t>
      </w:r>
      <w:r>
        <w:rPr>
          <w:rFonts w:ascii="Malgun Gothic" w:eastAsia="Malgun Gothic" w:hAnsi="Malgun Gothic" w:cs="Malgun Gothic" w:hint="eastAsia"/>
          <w:sz w:val="24"/>
          <w:szCs w:val="24"/>
        </w:rPr>
        <w:t>·</w:t>
      </w:r>
      <w:r>
        <w:rPr>
          <w:rFonts w:ascii="宋体" w:eastAsia="宋体" w:hAnsi="宋体" w:cs="宋体" w:hint="eastAsia"/>
          <w:sz w:val="24"/>
          <w:szCs w:val="24"/>
        </w:rPr>
        <w:t>m的该项合格，小于0.2 N</w:t>
      </w:r>
      <w:r>
        <w:rPr>
          <w:rFonts w:ascii="Malgun Gothic" w:eastAsia="Malgun Gothic" w:hAnsi="Malgun Gothic" w:cs="Malgun Gothic" w:hint="eastAsia"/>
          <w:sz w:val="24"/>
          <w:szCs w:val="24"/>
        </w:rPr>
        <w:t>·</w:t>
      </w:r>
      <w:r>
        <w:rPr>
          <w:rFonts w:ascii="宋体" w:eastAsia="宋体" w:hAnsi="宋体" w:cs="宋体" w:hint="eastAsia"/>
          <w:sz w:val="24"/>
          <w:szCs w:val="24"/>
        </w:rPr>
        <w:t>m的不合格。</w:t>
      </w:r>
    </w:p>
    <w:p w:rsidR="005E65CE" w:rsidRDefault="00F36D69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i/>
          <w:iCs/>
          <w:sz w:val="24"/>
          <w:szCs w:val="24"/>
        </w:rPr>
        <w:t>行进性能测试</w:t>
      </w:r>
      <w:r>
        <w:rPr>
          <w:rFonts w:ascii="宋体" w:eastAsia="宋体" w:hAnsi="宋体" w:cs="宋体" w:hint="eastAsia"/>
          <w:sz w:val="24"/>
          <w:szCs w:val="24"/>
        </w:rPr>
        <w:t>（选测）</w:t>
      </w:r>
      <w:r>
        <w:rPr>
          <w:rFonts w:ascii="宋体" w:eastAsia="宋体" w:hAnsi="宋体" w:cs="宋体" w:hint="eastAsia"/>
          <w:b/>
          <w:bCs/>
          <w:i/>
          <w:iCs/>
          <w:sz w:val="24"/>
          <w:szCs w:val="24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进行该项测试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须沿船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行进方向的水槽线度不低于3个船体长度，即测试行程距离应50 cm以上。当固定50 cm行程，在水槽边缘垂直于船行进方向固定两个光滑定滑轮或支柱，间距20 cm。80 cm非弹性细绳两根，分别一端绕过定滑轮或支柱，连接自由悬垂的10 g重物,另一端连接小船孔眼。</w:t>
      </w:r>
      <w:r>
        <w:rPr>
          <w:rFonts w:ascii="宋体" w:eastAsia="宋体" w:hAnsi="宋体" w:cs="宋体" w:hint="eastAsia"/>
          <w:sz w:val="24"/>
          <w:szCs w:val="24"/>
        </w:rPr>
        <w:lastRenderedPageBreak/>
        <w:t>重物无初速释放的时刻，秒表开始计时，测量船完成50 cm行程所需时间。（注意：水槽放置高度不低于80 cm,以保障重物下落过程中细绳保持张力。）</w:t>
      </w:r>
    </w:p>
    <w:p w:rsidR="005E65CE" w:rsidRDefault="00F36D6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定性：所需时间越短，船行进性能越好；行进中船体倾斜倾覆的，提示结构设计存在缺陷。</w:t>
      </w:r>
    </w:p>
    <w:p w:rsidR="005E65CE" w:rsidRDefault="00F36D69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定量： 根据测量时间，考生可以进一步应用能量与动量定理进行速度计算与受力分析。</w:t>
      </w:r>
    </w:p>
    <w:p w:rsidR="005E65CE" w:rsidRDefault="005E65CE">
      <w:pPr>
        <w:spacing w:line="360" w:lineRule="auto"/>
        <w:rPr>
          <w:rFonts w:ascii="宋体" w:eastAsia="宋体" w:hAnsi="宋体" w:cs="宋体"/>
          <w:sz w:val="24"/>
          <w:szCs w:val="24"/>
        </w:rPr>
      </w:pPr>
    </w:p>
    <w:p w:rsidR="005E65CE" w:rsidRDefault="00F36D69">
      <w:pPr>
        <w:spacing w:line="360" w:lineRule="auto"/>
        <w:jc w:val="left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表3（第二次作品测试评分表）为对应该标准测试方案的现场评分表。</w:t>
      </w:r>
    </w:p>
    <w:p w:rsidR="005E65CE" w:rsidRDefault="005E65CE">
      <w:pPr>
        <w:spacing w:line="360" w:lineRule="auto"/>
        <w:rPr>
          <w:rFonts w:ascii="宋体" w:eastAsia="宋体" w:hAnsi="宋体" w:cs="宋体"/>
          <w:sz w:val="24"/>
          <w:szCs w:val="24"/>
        </w:rPr>
      </w:pPr>
    </w:p>
    <w:p w:rsidR="005E65CE" w:rsidRDefault="005E65CE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</w:p>
    <w:p w:rsidR="005E65CE" w:rsidRDefault="005E65CE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 w:rsidP="00843F79">
      <w:pPr>
        <w:rPr>
          <w:rFonts w:ascii="宋体" w:eastAsia="宋体" w:hAnsi="宋体" w:cs="宋体"/>
          <w:sz w:val="24"/>
          <w:szCs w:val="24"/>
        </w:rPr>
      </w:pPr>
    </w:p>
    <w:p w:rsidR="00843F79" w:rsidRDefault="00843F79" w:rsidP="00843F79">
      <w:pPr>
        <w:spacing w:line="360" w:lineRule="auto"/>
        <w:ind w:firstLineChars="200" w:firstLine="480"/>
        <w:jc w:val="center"/>
        <w:rPr>
          <w:rFonts w:ascii="宋体" w:eastAsia="宋体" w:hAnsi="宋体" w:cs="宋体"/>
          <w:sz w:val="24"/>
          <w:szCs w:val="24"/>
        </w:rPr>
      </w:pPr>
      <w:bookmarkStart w:id="0" w:name="OLE_LINK1"/>
      <w:r>
        <w:rPr>
          <w:rFonts w:ascii="宋体" w:eastAsia="宋体" w:hAnsi="宋体" w:cs="宋体" w:hint="eastAsia"/>
          <w:sz w:val="24"/>
          <w:szCs w:val="24"/>
        </w:rPr>
        <w:lastRenderedPageBreak/>
        <w:t>表3  第二次作品测试评分表</w:t>
      </w:r>
      <w:bookmarkEnd w:id="0"/>
    </w:p>
    <w:tbl>
      <w:tblPr>
        <w:tblStyle w:val="a3"/>
        <w:tblW w:w="9801" w:type="dxa"/>
        <w:jc w:val="center"/>
        <w:tblInd w:w="-1562" w:type="dxa"/>
        <w:tblLayout w:type="fixed"/>
        <w:tblLook w:val="04A0"/>
      </w:tblPr>
      <w:tblGrid>
        <w:gridCol w:w="486"/>
        <w:gridCol w:w="807"/>
        <w:gridCol w:w="1134"/>
        <w:gridCol w:w="850"/>
        <w:gridCol w:w="1560"/>
        <w:gridCol w:w="1136"/>
        <w:gridCol w:w="1134"/>
        <w:gridCol w:w="993"/>
        <w:gridCol w:w="850"/>
        <w:gridCol w:w="851"/>
      </w:tblGrid>
      <w:tr w:rsidR="00843F79" w:rsidTr="00843F79">
        <w:trPr>
          <w:trHeight w:val="629"/>
          <w:jc w:val="center"/>
        </w:trPr>
        <w:tc>
          <w:tcPr>
            <w:tcW w:w="486" w:type="dxa"/>
            <w:vMerge w:val="restart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组</w:t>
            </w:r>
          </w:p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号</w:t>
            </w:r>
          </w:p>
        </w:tc>
        <w:tc>
          <w:tcPr>
            <w:tcW w:w="1941" w:type="dxa"/>
            <w:gridSpan w:val="2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静平衡测试</w:t>
            </w:r>
          </w:p>
        </w:tc>
        <w:tc>
          <w:tcPr>
            <w:tcW w:w="2410" w:type="dxa"/>
            <w:gridSpan w:val="2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稳定性测试</w:t>
            </w:r>
          </w:p>
        </w:tc>
        <w:tc>
          <w:tcPr>
            <w:tcW w:w="2270" w:type="dxa"/>
            <w:gridSpan w:val="2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最大恢复力矩测试</w:t>
            </w: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测速</w:t>
            </w: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总分</w:t>
            </w:r>
          </w:p>
        </w:tc>
        <w:tc>
          <w:tcPr>
            <w:tcW w:w="851" w:type="dxa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</w:tr>
      <w:tr w:rsidR="00843F79" w:rsidTr="00843F79">
        <w:trPr>
          <w:trHeight w:val="1028"/>
          <w:jc w:val="center"/>
        </w:trPr>
        <w:tc>
          <w:tcPr>
            <w:tcW w:w="486" w:type="dxa"/>
            <w:vMerge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807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是否漂浮</w:t>
            </w:r>
          </w:p>
        </w:tc>
        <w:tc>
          <w:tcPr>
            <w:tcW w:w="1134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甲板与水面平行度</w:t>
            </w:r>
          </w:p>
        </w:tc>
        <w:tc>
          <w:tcPr>
            <w:tcW w:w="850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无稳性消失角</w:t>
            </w:r>
          </w:p>
        </w:tc>
        <w:tc>
          <w:tcPr>
            <w:tcW w:w="1560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有稳性消失角（记录度数）</w:t>
            </w:r>
          </w:p>
        </w:tc>
        <w:tc>
          <w:tcPr>
            <w:tcW w:w="1136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大于或等于0.2 N</w:t>
            </w:r>
            <w:r>
              <w:rPr>
                <w:rFonts w:ascii="Malgun Gothic" w:eastAsia="Malgun Gothic" w:hAnsi="Malgun Gothic" w:cs="Malgun Gothic" w:hint="eastAsia"/>
                <w:szCs w:val="21"/>
              </w:rPr>
              <w:t>·</w:t>
            </w:r>
            <w:r>
              <w:rPr>
                <w:rFonts w:ascii="宋体" w:eastAsia="宋体" w:hAnsi="宋体" w:cs="宋体" w:hint="eastAsia"/>
                <w:szCs w:val="21"/>
              </w:rPr>
              <w:t>m</w:t>
            </w:r>
          </w:p>
        </w:tc>
        <w:tc>
          <w:tcPr>
            <w:tcW w:w="1134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小于0.2 N</w:t>
            </w:r>
            <w:r>
              <w:rPr>
                <w:rFonts w:ascii="Malgun Gothic" w:eastAsia="Malgun Gothic" w:hAnsi="Malgun Gothic" w:cs="Malgun Gothic" w:hint="eastAsia"/>
                <w:szCs w:val="21"/>
              </w:rPr>
              <w:t>·</w:t>
            </w:r>
            <w:r>
              <w:rPr>
                <w:rFonts w:ascii="宋体" w:eastAsia="宋体" w:hAnsi="宋体" w:cs="宋体" w:hint="eastAsia"/>
                <w:szCs w:val="21"/>
              </w:rPr>
              <w:t>m</w:t>
            </w:r>
          </w:p>
        </w:tc>
        <w:tc>
          <w:tcPr>
            <w:tcW w:w="993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1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4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5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6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7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8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9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10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11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12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13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14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15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16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17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18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19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20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21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22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23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843F79">
        <w:trPr>
          <w:jc w:val="center"/>
        </w:trPr>
        <w:tc>
          <w:tcPr>
            <w:tcW w:w="486" w:type="dxa"/>
          </w:tcPr>
          <w:p w:rsidR="00843F79" w:rsidRDefault="00843F79" w:rsidP="00843F79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24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:rsidR="00843F79" w:rsidRDefault="00843F79" w:rsidP="00843F79">
      <w:pPr>
        <w:rPr>
          <w:rFonts w:ascii="宋体" w:eastAsia="宋体" w:hAnsi="宋体" w:cs="宋体" w:hint="eastAsia"/>
          <w:szCs w:val="21"/>
        </w:rPr>
      </w:pPr>
    </w:p>
    <w:p w:rsidR="00843F79" w:rsidRDefault="00843F79" w:rsidP="00843F79">
      <w:pPr>
        <w:spacing w:line="360" w:lineRule="auto"/>
        <w:ind w:firstLineChars="200" w:firstLine="480"/>
        <w:jc w:val="center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表3  第二次作品测试评分表</w:t>
      </w:r>
    </w:p>
    <w:tbl>
      <w:tblPr>
        <w:tblStyle w:val="a3"/>
        <w:tblW w:w="9801" w:type="dxa"/>
        <w:jc w:val="center"/>
        <w:tblInd w:w="-1562" w:type="dxa"/>
        <w:tblLayout w:type="fixed"/>
        <w:tblLook w:val="04A0"/>
      </w:tblPr>
      <w:tblGrid>
        <w:gridCol w:w="486"/>
        <w:gridCol w:w="807"/>
        <w:gridCol w:w="1134"/>
        <w:gridCol w:w="850"/>
        <w:gridCol w:w="1560"/>
        <w:gridCol w:w="1136"/>
        <w:gridCol w:w="1134"/>
        <w:gridCol w:w="993"/>
        <w:gridCol w:w="850"/>
        <w:gridCol w:w="851"/>
      </w:tblGrid>
      <w:tr w:rsidR="00843F79" w:rsidTr="000F2D6C">
        <w:trPr>
          <w:trHeight w:val="629"/>
          <w:jc w:val="center"/>
        </w:trPr>
        <w:tc>
          <w:tcPr>
            <w:tcW w:w="486" w:type="dxa"/>
            <w:vMerge w:val="restart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组</w:t>
            </w:r>
          </w:p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号</w:t>
            </w:r>
          </w:p>
        </w:tc>
        <w:tc>
          <w:tcPr>
            <w:tcW w:w="1941" w:type="dxa"/>
            <w:gridSpan w:val="2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静平衡测试</w:t>
            </w:r>
          </w:p>
        </w:tc>
        <w:tc>
          <w:tcPr>
            <w:tcW w:w="2410" w:type="dxa"/>
            <w:gridSpan w:val="2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稳定性测试</w:t>
            </w:r>
          </w:p>
        </w:tc>
        <w:tc>
          <w:tcPr>
            <w:tcW w:w="2270" w:type="dxa"/>
            <w:gridSpan w:val="2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最大恢复力矩测试</w:t>
            </w: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测速</w:t>
            </w: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总分</w:t>
            </w:r>
          </w:p>
        </w:tc>
        <w:tc>
          <w:tcPr>
            <w:tcW w:w="851" w:type="dxa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备注</w:t>
            </w:r>
          </w:p>
        </w:tc>
      </w:tr>
      <w:tr w:rsidR="00843F79" w:rsidTr="000F2D6C">
        <w:trPr>
          <w:trHeight w:val="1028"/>
          <w:jc w:val="center"/>
        </w:trPr>
        <w:tc>
          <w:tcPr>
            <w:tcW w:w="486" w:type="dxa"/>
            <w:vMerge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807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是否漂浮</w:t>
            </w:r>
          </w:p>
        </w:tc>
        <w:tc>
          <w:tcPr>
            <w:tcW w:w="1134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甲板与水面平行度</w:t>
            </w:r>
          </w:p>
        </w:tc>
        <w:tc>
          <w:tcPr>
            <w:tcW w:w="850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无稳性消失角</w:t>
            </w:r>
          </w:p>
        </w:tc>
        <w:tc>
          <w:tcPr>
            <w:tcW w:w="1560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有稳性消失角（记录度数）</w:t>
            </w:r>
          </w:p>
        </w:tc>
        <w:tc>
          <w:tcPr>
            <w:tcW w:w="1136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大于或等于0.2 N</w:t>
            </w:r>
            <w:r>
              <w:rPr>
                <w:rFonts w:ascii="Malgun Gothic" w:eastAsia="Malgun Gothic" w:hAnsi="Malgun Gothic" w:cs="Malgun Gothic" w:hint="eastAsia"/>
                <w:szCs w:val="21"/>
              </w:rPr>
              <w:t>·</w:t>
            </w:r>
            <w:r>
              <w:rPr>
                <w:rFonts w:ascii="宋体" w:eastAsia="宋体" w:hAnsi="宋体" w:cs="宋体" w:hint="eastAsia"/>
                <w:szCs w:val="21"/>
              </w:rPr>
              <w:t>m</w:t>
            </w:r>
          </w:p>
        </w:tc>
        <w:tc>
          <w:tcPr>
            <w:tcW w:w="1134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小于0.2 N</w:t>
            </w:r>
            <w:r>
              <w:rPr>
                <w:rFonts w:ascii="Malgun Gothic" w:eastAsia="Malgun Gothic" w:hAnsi="Malgun Gothic" w:cs="Malgun Gothic" w:hint="eastAsia"/>
                <w:szCs w:val="21"/>
              </w:rPr>
              <w:t>·</w:t>
            </w:r>
            <w:r>
              <w:rPr>
                <w:rFonts w:ascii="宋体" w:eastAsia="宋体" w:hAnsi="宋体" w:cs="宋体" w:hint="eastAsia"/>
                <w:szCs w:val="21"/>
              </w:rPr>
              <w:t>m</w:t>
            </w:r>
          </w:p>
        </w:tc>
        <w:tc>
          <w:tcPr>
            <w:tcW w:w="993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850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851" w:type="dxa"/>
            <w:vAlign w:val="center"/>
          </w:tcPr>
          <w:p w:rsidR="00843F79" w:rsidRDefault="00843F79" w:rsidP="000F2D6C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25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26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27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28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29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30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31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32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33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34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35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36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37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38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39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40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41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42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43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843F79" w:rsidTr="000F2D6C">
        <w:trPr>
          <w:jc w:val="center"/>
        </w:trPr>
        <w:tc>
          <w:tcPr>
            <w:tcW w:w="486" w:type="dxa"/>
          </w:tcPr>
          <w:p w:rsidR="00843F79" w:rsidRDefault="00843F79" w:rsidP="000F2D6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44</w:t>
            </w:r>
          </w:p>
        </w:tc>
        <w:tc>
          <w:tcPr>
            <w:tcW w:w="807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56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6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993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0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</w:tcPr>
          <w:p w:rsidR="00843F79" w:rsidRDefault="00843F79" w:rsidP="000F2D6C">
            <w:pPr>
              <w:spacing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:rsidR="00843F79" w:rsidRDefault="00843F79" w:rsidP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 w:rsidP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 w:rsidP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 w:rsidP="00843F79">
      <w:pPr>
        <w:rPr>
          <w:rFonts w:ascii="宋体" w:eastAsia="宋体" w:hAnsi="宋体" w:cs="宋体" w:hint="eastAsia"/>
          <w:sz w:val="24"/>
          <w:szCs w:val="24"/>
        </w:rPr>
      </w:pPr>
    </w:p>
    <w:p w:rsidR="00843F79" w:rsidRDefault="00843F79" w:rsidP="00843F79">
      <w:pPr>
        <w:rPr>
          <w:rFonts w:ascii="宋体" w:eastAsia="宋体" w:hAnsi="宋体" w:cs="宋体"/>
          <w:sz w:val="24"/>
          <w:szCs w:val="24"/>
        </w:rPr>
        <w:sectPr w:rsidR="00843F79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837D6" w:rsidRPr="00843F79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837D6" w:rsidRDefault="005837D6">
      <w:pPr>
        <w:rPr>
          <w:rFonts w:ascii="宋体" w:eastAsia="宋体" w:hAnsi="宋体" w:cs="宋体" w:hint="eastAsia"/>
          <w:sz w:val="24"/>
          <w:szCs w:val="24"/>
        </w:rPr>
      </w:pPr>
    </w:p>
    <w:p w:rsidR="005E65CE" w:rsidRDefault="005E65CE" w:rsidP="005837D6">
      <w:pPr>
        <w:rPr>
          <w:rFonts w:ascii="宋体" w:eastAsia="宋体" w:hAnsi="宋体" w:cs="宋体"/>
          <w:szCs w:val="21"/>
        </w:rPr>
        <w:sectPr w:rsidR="005E65C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:rsidR="005E65CE" w:rsidRDefault="005E65CE">
      <w:pPr>
        <w:rPr>
          <w:rFonts w:ascii="宋体" w:eastAsia="宋体" w:hAnsi="宋体" w:cs="宋体"/>
          <w:szCs w:val="21"/>
        </w:rPr>
      </w:pPr>
    </w:p>
    <w:p w:rsidR="005E65CE" w:rsidRDefault="005E65CE" w:rsidP="00F36D69">
      <w:pPr>
        <w:rPr>
          <w:rFonts w:ascii="宋体" w:eastAsia="宋体" w:hAnsi="宋体" w:cs="宋体"/>
          <w:szCs w:val="21"/>
        </w:rPr>
      </w:pPr>
    </w:p>
    <w:sectPr w:rsidR="005E65CE" w:rsidSect="005E65C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66FD11A"/>
    <w:multiLevelType w:val="singleLevel"/>
    <w:tmpl w:val="966FD11A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63F12"/>
    <w:rsid w:val="000017C7"/>
    <w:rsid w:val="00072448"/>
    <w:rsid w:val="000E6457"/>
    <w:rsid w:val="0010732A"/>
    <w:rsid w:val="00126772"/>
    <w:rsid w:val="00126B31"/>
    <w:rsid w:val="00136329"/>
    <w:rsid w:val="00195C6C"/>
    <w:rsid w:val="00221FAE"/>
    <w:rsid w:val="00276C75"/>
    <w:rsid w:val="002979F6"/>
    <w:rsid w:val="002A1000"/>
    <w:rsid w:val="002A20D3"/>
    <w:rsid w:val="002E67F1"/>
    <w:rsid w:val="00347EE2"/>
    <w:rsid w:val="00386A77"/>
    <w:rsid w:val="00401CC5"/>
    <w:rsid w:val="00414A40"/>
    <w:rsid w:val="004378B0"/>
    <w:rsid w:val="00444FAE"/>
    <w:rsid w:val="00474600"/>
    <w:rsid w:val="004B08DD"/>
    <w:rsid w:val="004B1459"/>
    <w:rsid w:val="004F6F22"/>
    <w:rsid w:val="00561EFE"/>
    <w:rsid w:val="005837D6"/>
    <w:rsid w:val="005E65CE"/>
    <w:rsid w:val="005F74EC"/>
    <w:rsid w:val="00605BD9"/>
    <w:rsid w:val="00614824"/>
    <w:rsid w:val="006573A4"/>
    <w:rsid w:val="006B3936"/>
    <w:rsid w:val="006B6085"/>
    <w:rsid w:val="006E201C"/>
    <w:rsid w:val="007366B2"/>
    <w:rsid w:val="00777F55"/>
    <w:rsid w:val="00843F79"/>
    <w:rsid w:val="00873262"/>
    <w:rsid w:val="0088530F"/>
    <w:rsid w:val="008927E3"/>
    <w:rsid w:val="0089364E"/>
    <w:rsid w:val="009135E6"/>
    <w:rsid w:val="0093669F"/>
    <w:rsid w:val="009652A2"/>
    <w:rsid w:val="009B6682"/>
    <w:rsid w:val="009E3045"/>
    <w:rsid w:val="00A04B4E"/>
    <w:rsid w:val="00A21215"/>
    <w:rsid w:val="00A4536F"/>
    <w:rsid w:val="00A930CB"/>
    <w:rsid w:val="00AA7DB3"/>
    <w:rsid w:val="00AF6040"/>
    <w:rsid w:val="00B547CF"/>
    <w:rsid w:val="00B712A5"/>
    <w:rsid w:val="00D046F3"/>
    <w:rsid w:val="00D50C30"/>
    <w:rsid w:val="00D55BDF"/>
    <w:rsid w:val="00D63F12"/>
    <w:rsid w:val="00DD22EE"/>
    <w:rsid w:val="00DF3C73"/>
    <w:rsid w:val="00E21771"/>
    <w:rsid w:val="00E31601"/>
    <w:rsid w:val="00E41CE9"/>
    <w:rsid w:val="00EE0656"/>
    <w:rsid w:val="00F33C1F"/>
    <w:rsid w:val="00F36D69"/>
    <w:rsid w:val="00F62C07"/>
    <w:rsid w:val="00F806D3"/>
    <w:rsid w:val="00F97B6E"/>
    <w:rsid w:val="00FA7314"/>
    <w:rsid w:val="00FD326C"/>
    <w:rsid w:val="0501341F"/>
    <w:rsid w:val="0A766CB1"/>
    <w:rsid w:val="0D2132CE"/>
    <w:rsid w:val="0EC56BA5"/>
    <w:rsid w:val="110819B2"/>
    <w:rsid w:val="165F68F3"/>
    <w:rsid w:val="25317F19"/>
    <w:rsid w:val="274A2AF6"/>
    <w:rsid w:val="2872556C"/>
    <w:rsid w:val="31117327"/>
    <w:rsid w:val="3E8D2EDE"/>
    <w:rsid w:val="41BE1759"/>
    <w:rsid w:val="45145AF6"/>
    <w:rsid w:val="48EB44F5"/>
    <w:rsid w:val="4D37666F"/>
    <w:rsid w:val="54473D84"/>
    <w:rsid w:val="54E94C51"/>
    <w:rsid w:val="56491D49"/>
    <w:rsid w:val="5D0C5F3B"/>
    <w:rsid w:val="6A8C59A8"/>
    <w:rsid w:val="70216E06"/>
    <w:rsid w:val="70795E51"/>
    <w:rsid w:val="7A876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Web 1" w:semiHidden="0" w:unhideWhenUsed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5C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65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E65CE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AC1EEC-1662-49B2-B71C-81D7E9A5D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neil</dc:creator>
  <cp:lastModifiedBy>neil</cp:lastModifiedBy>
  <cp:revision>27</cp:revision>
  <cp:lastPrinted>2019-11-07T01:09:00Z</cp:lastPrinted>
  <dcterms:created xsi:type="dcterms:W3CDTF">2019-07-05T08:51:00Z</dcterms:created>
  <dcterms:modified xsi:type="dcterms:W3CDTF">2019-11-07T07:11:00Z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