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line="300" w:lineRule="auto"/>
        <w:jc w:val="center"/>
      </w:pPr>
      <w:r>
        <w:rPr>
          <w:rFonts w:ascii="Calibri" w:hAnsi="Calibri" w:eastAsia="STHeiti"/>
          <w:b/>
          <w:color w:val="1F4D78"/>
          <w:sz w:val="32"/>
        </w:rPr>
        <w:t>澳门航空</w:t>
      </w:r>
    </w:p>
    <w:p>
      <w:pPr>
        <w:spacing w:before="0" w:after="240" w:line="300" w:lineRule="auto"/>
        <w:jc w:val="center"/>
      </w:pPr>
      <w:r>
        <w:rPr>
          <w:rFonts w:ascii="Calibri" w:hAnsi="Calibri" w:eastAsia="STHeiti"/>
          <w:b/>
          <w:color w:val="0B2545"/>
          <w:sz w:val="52"/>
        </w:rPr>
        <w:t>辅助营收及澳航假期管理程序</w:t>
      </w:r>
    </w:p>
    <w:p>
      <w:pPr>
        <w:spacing w:before="0" w:after="840" w:line="300" w:lineRule="auto"/>
        <w:jc w:val="center"/>
      </w:pPr>
      <w:r>
        <w:rPr>
          <w:rFonts w:ascii="Calibri" w:hAnsi="Calibri" w:eastAsia="STHeiti"/>
          <w:b w:val="0"/>
          <w:color w:val="5B6573"/>
          <w:sz w:val="26"/>
        </w:rPr>
        <w:t>（重点：澳航假期产品全生命周期及商业模式创新管理）</w:t>
      </w: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c>
          <w:tcPr>
            <w:tcW w:type="dxa" w:w="2100"/>
            <w:shd w:fill="F2F4F7"/>
          </w:tcPr>
          <w:p>
            <w:pPr>
              <w:spacing w:after="0"/>
            </w:pPr>
            <w:r>
              <w:rPr>
                <w:rFonts w:ascii="Calibri" w:hAnsi="Calibri" w:eastAsia="STHeiti"/>
                <w:b/>
                <w:color w:val="0B2545"/>
                <w:sz w:val="19"/>
              </w:rPr>
              <w:t>文件编号</w:t>
            </w:r>
          </w:p>
        </w:tc>
        <w:tc>
          <w:tcPr>
            <w:tcW w:type="dxa" w:w="7260"/>
          </w:tcPr>
          <w:p>
            <w:pPr>
              <w:spacing w:after="0"/>
            </w:pPr>
            <w:r>
              <w:rPr>
                <w:rFonts w:ascii="Calibri" w:hAnsi="Calibri" w:eastAsia="STHeiti"/>
                <w:b w:val="0"/>
                <w:color w:val="000000"/>
                <w:sz w:val="19"/>
              </w:rPr>
              <w:t>待编制</w:t>
            </w:r>
          </w:p>
        </w:tc>
      </w:tr>
      <w:tr>
        <w:tc>
          <w:tcPr>
            <w:tcW w:type="dxa" w:w="2100"/>
            <w:shd w:fill="F2F4F7"/>
          </w:tcPr>
          <w:p>
            <w:pPr>
              <w:spacing w:after="0"/>
            </w:pPr>
            <w:r>
              <w:rPr>
                <w:rFonts w:ascii="Calibri" w:hAnsi="Calibri" w:eastAsia="STHeiti"/>
                <w:b/>
                <w:color w:val="0B2545"/>
                <w:sz w:val="19"/>
              </w:rPr>
              <w:t>版本号</w:t>
            </w:r>
          </w:p>
        </w:tc>
        <w:tc>
          <w:tcPr>
            <w:tcW w:type="dxa" w:w="7260"/>
          </w:tcPr>
          <w:p>
            <w:pPr>
              <w:spacing w:after="0"/>
            </w:pPr>
            <w:r>
              <w:rPr>
                <w:rFonts w:ascii="Calibri" w:hAnsi="Calibri" w:eastAsia="STHeiti"/>
                <w:b w:val="0"/>
                <w:color w:val="000000"/>
                <w:sz w:val="19"/>
              </w:rPr>
              <w:t>V1.0</w:t>
            </w:r>
          </w:p>
        </w:tc>
      </w:tr>
      <w:tr>
        <w:tc>
          <w:tcPr>
            <w:tcW w:type="dxa" w:w="2100"/>
            <w:shd w:fill="F2F4F7"/>
          </w:tcPr>
          <w:p>
            <w:pPr>
              <w:spacing w:after="0"/>
            </w:pPr>
            <w:r>
              <w:rPr>
                <w:rFonts w:ascii="Calibri" w:hAnsi="Calibri" w:eastAsia="STHeiti"/>
                <w:b/>
                <w:color w:val="0B2545"/>
                <w:sz w:val="19"/>
              </w:rPr>
              <w:t>归口部门</w:t>
            </w:r>
          </w:p>
        </w:tc>
        <w:tc>
          <w:tcPr>
            <w:tcW w:type="dxa" w:w="7260"/>
          </w:tcPr>
          <w:p>
            <w:pPr>
              <w:spacing w:after="0"/>
            </w:pPr>
            <w:r>
              <w:rPr>
                <w:rFonts w:ascii="Calibri" w:hAnsi="Calibri" w:eastAsia="STHeiti"/>
                <w:b w:val="0"/>
                <w:color w:val="000000"/>
                <w:sz w:val="19"/>
              </w:rPr>
              <w:t>数字化营销服务中心</w:t>
            </w:r>
          </w:p>
        </w:tc>
      </w:tr>
      <w:tr>
        <w:tc>
          <w:tcPr>
            <w:tcW w:type="dxa" w:w="2100"/>
            <w:shd w:fill="F2F4F7"/>
          </w:tcPr>
          <w:p>
            <w:pPr>
              <w:spacing w:after="0"/>
            </w:pPr>
            <w:r>
              <w:rPr>
                <w:rFonts w:ascii="Calibri" w:hAnsi="Calibri" w:eastAsia="STHeiti"/>
                <w:b/>
                <w:color w:val="0B2545"/>
                <w:sz w:val="19"/>
              </w:rPr>
              <w:t>拟制部门</w:t>
            </w:r>
          </w:p>
        </w:tc>
        <w:tc>
          <w:tcPr>
            <w:tcW w:type="dxa" w:w="7260"/>
          </w:tcPr>
          <w:p>
            <w:pPr>
              <w:spacing w:after="0"/>
            </w:pPr>
            <w:r>
              <w:rPr>
                <w:rFonts w:ascii="Calibri" w:hAnsi="Calibri" w:eastAsia="STHeiti"/>
                <w:b w:val="0"/>
                <w:color w:val="000000"/>
                <w:sz w:val="19"/>
              </w:rPr>
              <w:t>数字化营销服务中心</w:t>
            </w:r>
          </w:p>
        </w:tc>
      </w:tr>
      <w:tr>
        <w:tc>
          <w:tcPr>
            <w:tcW w:type="dxa" w:w="2100"/>
            <w:shd w:fill="F2F4F7"/>
          </w:tcPr>
          <w:p>
            <w:pPr>
              <w:spacing w:after="0"/>
            </w:pPr>
            <w:r>
              <w:rPr>
                <w:rFonts w:ascii="Calibri" w:hAnsi="Calibri" w:eastAsia="STHeiti"/>
                <w:b/>
                <w:color w:val="0B2545"/>
                <w:sz w:val="19"/>
              </w:rPr>
              <w:t>生效日期</w:t>
            </w:r>
          </w:p>
        </w:tc>
        <w:tc>
          <w:tcPr>
            <w:tcW w:type="dxa" w:w="7260"/>
          </w:tcPr>
          <w:p>
            <w:pPr>
              <w:spacing w:after="0"/>
            </w:pPr>
            <w:r>
              <w:rPr>
                <w:rFonts w:ascii="Calibri" w:hAnsi="Calibri" w:eastAsia="STHeiti"/>
                <w:b w:val="0"/>
                <w:color w:val="000000"/>
                <w:sz w:val="19"/>
              </w:rPr>
              <w:t>待批准后执行</w:t>
            </w:r>
          </w:p>
        </w:tc>
      </w:tr>
      <w:tr>
        <w:tc>
          <w:tcPr>
            <w:tcW w:type="dxa" w:w="2100"/>
            <w:shd w:fill="F2F4F7"/>
          </w:tcPr>
          <w:p>
            <w:pPr>
              <w:spacing w:after="0"/>
            </w:pPr>
            <w:r>
              <w:rPr>
                <w:rFonts w:ascii="Calibri" w:hAnsi="Calibri" w:eastAsia="STHeiti"/>
                <w:b/>
                <w:color w:val="0B2545"/>
                <w:sz w:val="19"/>
              </w:rPr>
              <w:t>密级</w:t>
            </w:r>
          </w:p>
        </w:tc>
        <w:tc>
          <w:tcPr>
            <w:tcW w:type="dxa" w:w="7260"/>
          </w:tcPr>
          <w:p>
            <w:pPr>
              <w:spacing w:after="0"/>
            </w:pPr>
            <w:r>
              <w:rPr>
                <w:rFonts w:ascii="Calibri" w:hAnsi="Calibri" w:eastAsia="STHeiti"/>
                <w:b w:val="0"/>
                <w:color w:val="000000"/>
                <w:sz w:val="19"/>
              </w:rPr>
              <w:t>内部</w:t>
            </w:r>
          </w:p>
        </w:tc>
      </w:tr>
    </w:tbl>
    <w:p>
      <w:pPr>
        <w:spacing w:before="0" w:after="60" w:line="300" w:lineRule="auto"/>
      </w:pPr>
    </w:p>
    <w:p>
      <w:pPr>
        <w:spacing w:before="500" w:after="0" w:line="300" w:lineRule="auto"/>
        <w:jc w:val="center"/>
      </w:pPr>
      <w:r>
        <w:rPr>
          <w:rFonts w:ascii="Calibri" w:hAnsi="Calibri" w:eastAsia="STHeiti"/>
          <w:b w:val="0"/>
          <w:color w:val="5B6573"/>
          <w:sz w:val="20"/>
        </w:rPr>
        <w:t>本程序用于承接“统筹澳门航空辅助营收、澳航假期管理，积极尝试商业模式创新”的管理职责，规范澳航假期产品从立项至退市的全过程。</w:t>
      </w:r>
    </w:p>
    <w:p>
      <w:r>
        <w:br w:type="page"/>
      </w:r>
    </w:p>
    <w:p>
      <w:pPr>
        <w:pStyle w:val="Heading1"/>
        <w:keepNext/>
      </w:pPr>
      <w:r>
        <w:rPr>
          <w:rFonts w:ascii="Calibri" w:hAnsi="Calibri" w:eastAsia="STHeiti"/>
          <w:b/>
          <w:color w:val="2E74B5"/>
          <w:sz w:val="32"/>
        </w:rPr>
        <w:t>文件修订记录</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00"/>
        <w:gridCol w:w="1700"/>
        <w:gridCol w:w="4700"/>
        <w:gridCol w:w="2060"/>
      </w:tblGrid>
      <w:tr>
        <w:trPr>
          <w:cantSplit/>
          <w:tblHeader w:val="true"/>
        </w:trPr>
        <w:tc>
          <w:tcPr>
            <w:tcW w:type="dxa" w:w="9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版本</w:t>
            </w:r>
          </w:p>
        </w:tc>
        <w:tc>
          <w:tcPr>
            <w:tcW w:type="dxa" w:w="17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生效日期</w:t>
            </w:r>
          </w:p>
        </w:tc>
        <w:tc>
          <w:tcPr>
            <w:tcW w:type="dxa" w:w="47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修订说明</w:t>
            </w:r>
          </w:p>
        </w:tc>
        <w:tc>
          <w:tcPr>
            <w:tcW w:type="dxa" w:w="20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拟制/审核/批准</w:t>
            </w:r>
          </w:p>
        </w:tc>
      </w:tr>
      <w:tr>
        <w:trPr>
          <w:cantSplit/>
        </w:trPr>
        <w:tc>
          <w:tcPr>
            <w:tcW w:type="dxa" w:w="900"/>
          </w:tcPr>
          <w:p>
            <w:pPr>
              <w:spacing w:after="0" w:line="276" w:lineRule="auto"/>
            </w:pPr>
            <w:r>
              <w:rPr>
                <w:rFonts w:ascii="Calibri" w:hAnsi="Calibri" w:eastAsia="STHeiti"/>
                <w:b w:val="0"/>
                <w:color w:val="000000"/>
                <w:sz w:val="19"/>
              </w:rPr>
              <w:t>V1.0</w:t>
            </w:r>
          </w:p>
        </w:tc>
        <w:tc>
          <w:tcPr>
            <w:tcW w:type="dxa" w:w="1700"/>
          </w:tcPr>
          <w:p>
            <w:pPr>
              <w:spacing w:after="0" w:line="276" w:lineRule="auto"/>
            </w:pPr>
            <w:r>
              <w:rPr>
                <w:rFonts w:ascii="Calibri" w:hAnsi="Calibri" w:eastAsia="STHeiti"/>
                <w:b w:val="0"/>
                <w:color w:val="000000"/>
                <w:sz w:val="19"/>
              </w:rPr>
              <w:t>待批准后执行</w:t>
            </w:r>
          </w:p>
        </w:tc>
        <w:tc>
          <w:tcPr>
            <w:tcW w:type="dxa" w:w="4700"/>
          </w:tcPr>
          <w:p>
            <w:pPr>
              <w:spacing w:after="0" w:line="276" w:lineRule="auto"/>
            </w:pPr>
            <w:r>
              <w:rPr>
                <w:rFonts w:ascii="Calibri" w:hAnsi="Calibri" w:eastAsia="STHeiti"/>
                <w:b w:val="0"/>
                <w:color w:val="000000"/>
                <w:sz w:val="19"/>
              </w:rPr>
              <w:t>首次制定，建立澳航假期产品管理、业绩跟踪及创新试点机制。</w:t>
            </w:r>
          </w:p>
        </w:tc>
        <w:tc>
          <w:tcPr>
            <w:tcW w:type="dxa" w:w="2060"/>
          </w:tcPr>
          <w:p>
            <w:pPr>
              <w:spacing w:after="0" w:line="276" w:lineRule="auto"/>
            </w:pPr>
            <w:r>
              <w:rPr>
                <w:rFonts w:ascii="Calibri" w:hAnsi="Calibri" w:eastAsia="STHeiti"/>
                <w:b w:val="0"/>
                <w:color w:val="000000"/>
                <w:sz w:val="19"/>
              </w:rPr>
              <w:t>数字化营销服务中心 / 相关部门会签 / 按授权批准</w:t>
            </w:r>
          </w:p>
        </w:tc>
      </w:tr>
    </w:tbl>
    <w:p>
      <w:pPr>
        <w:spacing w:before="0" w:after="60" w:line="300" w:lineRule="auto"/>
      </w:pPr>
    </w:p>
    <w:p>
      <w:pPr>
        <w:pStyle w:val="Heading1"/>
        <w:keepNext/>
      </w:pPr>
      <w:r>
        <w:rPr>
          <w:rFonts w:ascii="Calibri" w:hAnsi="Calibri" w:eastAsia="STHeiti"/>
          <w:b/>
          <w:color w:val="2E74B5"/>
          <w:sz w:val="32"/>
        </w:rPr>
        <w:t>目录</w:t>
      </w:r>
    </w:p>
    <w:p>
      <w:pPr>
        <w:spacing w:before="0" w:after="60" w:line="300" w:lineRule="auto"/>
      </w:pPr>
      <w:r>
        <w:rPr>
          <w:rFonts w:ascii="Calibri" w:hAnsi="Calibri" w:eastAsia="STHeiti"/>
          <w:b w:val="0"/>
          <w:color w:val="000000"/>
          <w:sz w:val="21"/>
        </w:rPr>
        <w:t>一、总则</w:t>
      </w:r>
    </w:p>
    <w:p>
      <w:pPr>
        <w:spacing w:before="0" w:after="60" w:line="300" w:lineRule="auto"/>
      </w:pPr>
      <w:r>
        <w:rPr>
          <w:rFonts w:ascii="Calibri" w:hAnsi="Calibri" w:eastAsia="STHeiti"/>
          <w:b w:val="0"/>
          <w:color w:val="000000"/>
          <w:sz w:val="21"/>
        </w:rPr>
        <w:t>二、组织职责与管理界面</w:t>
      </w:r>
    </w:p>
    <w:p>
      <w:pPr>
        <w:spacing w:before="0" w:after="60" w:line="300" w:lineRule="auto"/>
      </w:pPr>
      <w:r>
        <w:rPr>
          <w:rFonts w:ascii="Calibri" w:hAnsi="Calibri" w:eastAsia="STHeiti"/>
          <w:b w:val="0"/>
          <w:color w:val="000000"/>
          <w:sz w:val="21"/>
        </w:rPr>
        <w:t>三、产品分类、台账与生命周期总览</w:t>
      </w:r>
    </w:p>
    <w:p>
      <w:pPr>
        <w:spacing w:before="0" w:after="60" w:line="300" w:lineRule="auto"/>
      </w:pPr>
      <w:r>
        <w:rPr>
          <w:rFonts w:ascii="Calibri" w:hAnsi="Calibri" w:eastAsia="STHeiti"/>
          <w:b w:val="0"/>
          <w:color w:val="000000"/>
          <w:sz w:val="21"/>
        </w:rPr>
        <w:t>四、新产品立项管理</w:t>
      </w:r>
    </w:p>
    <w:p>
      <w:pPr>
        <w:spacing w:before="0" w:after="60" w:line="300" w:lineRule="auto"/>
      </w:pPr>
      <w:r>
        <w:rPr>
          <w:rFonts w:ascii="Calibri" w:hAnsi="Calibri" w:eastAsia="STHeiti"/>
          <w:b w:val="0"/>
          <w:color w:val="000000"/>
          <w:sz w:val="21"/>
        </w:rPr>
        <w:t>五、产品设计、定价与上线管理</w:t>
      </w:r>
    </w:p>
    <w:p>
      <w:pPr>
        <w:spacing w:before="0" w:after="60" w:line="300" w:lineRule="auto"/>
      </w:pPr>
      <w:r>
        <w:rPr>
          <w:rFonts w:ascii="Calibri" w:hAnsi="Calibri" w:eastAsia="STHeiti"/>
          <w:b w:val="0"/>
          <w:color w:val="000000"/>
          <w:sz w:val="21"/>
        </w:rPr>
        <w:t>六、产品运营、优化及变更管理</w:t>
      </w:r>
    </w:p>
    <w:p>
      <w:pPr>
        <w:spacing w:before="0" w:after="60" w:line="300" w:lineRule="auto"/>
      </w:pPr>
      <w:r>
        <w:rPr>
          <w:rFonts w:ascii="Calibri" w:hAnsi="Calibri" w:eastAsia="STHeiti"/>
          <w:b w:val="0"/>
          <w:color w:val="000000"/>
          <w:sz w:val="21"/>
        </w:rPr>
        <w:t>七、产品下线及退市管理</w:t>
      </w:r>
    </w:p>
    <w:p>
      <w:pPr>
        <w:spacing w:before="0" w:after="60" w:line="300" w:lineRule="auto"/>
      </w:pPr>
      <w:r>
        <w:rPr>
          <w:rFonts w:ascii="Calibri" w:hAnsi="Calibri" w:eastAsia="STHeiti"/>
          <w:b w:val="0"/>
          <w:color w:val="000000"/>
          <w:sz w:val="21"/>
        </w:rPr>
        <w:t>八、经营业绩跟踪与VPCM审阅</w:t>
      </w:r>
    </w:p>
    <w:p>
      <w:pPr>
        <w:spacing w:before="0" w:after="60" w:line="300" w:lineRule="auto"/>
      </w:pPr>
      <w:r>
        <w:rPr>
          <w:rFonts w:ascii="Calibri" w:hAnsi="Calibri" w:eastAsia="STHeiti"/>
          <w:b w:val="0"/>
          <w:color w:val="000000"/>
          <w:sz w:val="21"/>
        </w:rPr>
        <w:t>九、商业模式创新试点管理</w:t>
      </w:r>
    </w:p>
    <w:p>
      <w:pPr>
        <w:spacing w:before="0" w:after="60" w:line="300" w:lineRule="auto"/>
      </w:pPr>
      <w:r>
        <w:rPr>
          <w:rFonts w:ascii="Calibri" w:hAnsi="Calibri" w:eastAsia="STHeiti"/>
          <w:b w:val="0"/>
          <w:color w:val="000000"/>
          <w:sz w:val="21"/>
        </w:rPr>
        <w:t>十、审批、监督、档案与问责</w:t>
      </w:r>
    </w:p>
    <w:p>
      <w:pPr>
        <w:spacing w:before="0" w:after="60" w:line="300" w:lineRule="auto"/>
      </w:pPr>
      <w:r>
        <w:rPr>
          <w:rFonts w:ascii="Calibri" w:hAnsi="Calibri" w:eastAsia="STHeiti"/>
          <w:b w:val="0"/>
          <w:color w:val="000000"/>
          <w:sz w:val="21"/>
        </w:rPr>
        <w:t>十一、附则</w:t>
      </w:r>
    </w:p>
    <w:p>
      <w:pPr>
        <w:spacing w:before="0" w:after="60" w:line="300" w:lineRule="auto"/>
      </w:pPr>
      <w:r>
        <w:rPr>
          <w:rFonts w:ascii="Calibri" w:hAnsi="Calibri" w:eastAsia="STHeiti"/>
          <w:b w:val="0"/>
          <w:color w:val="000000"/>
          <w:sz w:val="21"/>
        </w:rPr>
        <w:t>附表1—附表8</w:t>
      </w:r>
    </w:p>
    <w:p>
      <w:r>
        <w:br w:type="page"/>
      </w:r>
    </w:p>
    <w:p>
      <w:pPr>
        <w:pStyle w:val="Heading1"/>
        <w:keepNext/>
      </w:pPr>
      <w:r>
        <w:rPr>
          <w:rFonts w:ascii="Calibri" w:hAnsi="Calibri" w:eastAsia="STHeiti"/>
          <w:b/>
          <w:color w:val="2E74B5"/>
          <w:sz w:val="32"/>
        </w:rPr>
        <w:t>一、总则</w:t>
      </w:r>
    </w:p>
    <w:p>
      <w:pPr>
        <w:pStyle w:val="Heading2"/>
        <w:keepNext/>
      </w:pPr>
      <w:r>
        <w:rPr>
          <w:rFonts w:ascii="Calibri" w:hAnsi="Calibri" w:eastAsia="STHeiti"/>
          <w:b/>
          <w:color w:val="2E74B5"/>
          <w:sz w:val="26"/>
        </w:rPr>
        <w:t>1. 目的</w:t>
      </w:r>
    </w:p>
    <w:p>
      <w:pPr>
        <w:spacing w:before="0" w:after="120" w:line="300" w:lineRule="auto"/>
      </w:pPr>
      <w:r>
        <w:rPr>
          <w:rFonts w:ascii="Calibri" w:hAnsi="Calibri" w:eastAsia="STHeiti"/>
          <w:b w:val="0"/>
          <w:color w:val="000000"/>
          <w:sz w:val="21"/>
        </w:rPr>
        <w:t>为规范澳门航空辅助营收及澳航假期产品管理，建立覆盖产品策划、立项、设计、上线、运营、优化、下线和创新试点的闭环管理机制，明确职责、审批、风险控制和业绩跟踪要求，保障产品价值、客户体验、合规经营和创新风险可控，制定本程序。</w:t>
      </w:r>
    </w:p>
    <w:p>
      <w:pPr>
        <w:pStyle w:val="Heading2"/>
        <w:keepNext/>
      </w:pPr>
      <w:r>
        <w:rPr>
          <w:rFonts w:ascii="Calibri" w:hAnsi="Calibri" w:eastAsia="STHeiti"/>
          <w:b/>
          <w:color w:val="2E74B5"/>
          <w:sz w:val="26"/>
        </w:rPr>
        <w:t>2. 适用范围</w:t>
      </w:r>
    </w:p>
    <w:p>
      <w:pPr>
        <w:spacing w:before="0" w:after="120" w:line="300" w:lineRule="auto"/>
      </w:pPr>
      <w:r>
        <w:rPr>
          <w:rFonts w:ascii="Calibri" w:hAnsi="Calibri" w:eastAsia="STHeiti"/>
          <w:b w:val="0"/>
          <w:color w:val="000000"/>
          <w:sz w:val="21"/>
        </w:rPr>
        <w:t>本程序适用于数字化营销服务中心牵头或参与经营的澳航假期产品及与其直接相关的辅助营收事项。澳航假期产品管理为本程序重点；航空运输、采购、合同、财务、信息安全、旅客服务、投诉处理等事项，应同时遵守公司现行制度。</w:t>
      </w:r>
    </w:p>
    <w:p>
      <w:pPr>
        <w:pStyle w:val="Heading2"/>
        <w:keepNext/>
      </w:pPr>
      <w:r>
        <w:rPr>
          <w:rFonts w:ascii="Calibri" w:hAnsi="Calibri" w:eastAsia="STHeiti"/>
          <w:b/>
          <w:color w:val="2E74B5"/>
          <w:sz w:val="26"/>
        </w:rPr>
        <w:t>3. 管理原则</w:t>
      </w:r>
    </w:p>
    <w:p>
      <w:pPr>
        <w:pStyle w:val="ListBullet"/>
        <w:spacing w:after="80" w:line="300" w:lineRule="auto"/>
        <w:ind w:left="540" w:hanging="271"/>
      </w:pPr>
      <w:r>
        <w:rPr>
          <w:rFonts w:ascii="Calibri" w:hAnsi="Calibri" w:eastAsia="STHeiti"/>
          <w:b w:val="0"/>
          <w:color w:val="000000"/>
          <w:sz w:val="21"/>
        </w:rPr>
        <w:t>客户价值与商业价值并重：产品应满足目标客群需求，并具有明确的收入、利润或战略价值。</w:t>
      </w:r>
    </w:p>
    <w:p>
      <w:pPr>
        <w:pStyle w:val="ListBullet"/>
        <w:spacing w:after="80" w:line="300" w:lineRule="auto"/>
        <w:ind w:left="540" w:hanging="271"/>
      </w:pPr>
      <w:r>
        <w:rPr>
          <w:rFonts w:ascii="Calibri" w:hAnsi="Calibri" w:eastAsia="STHeiti"/>
          <w:b w:val="0"/>
          <w:color w:val="000000"/>
          <w:sz w:val="21"/>
        </w:rPr>
        <w:t>全生命周期管理：每一产品均应建立唯一编号、产品台账、责任人、审批记录和完整经营档案。</w:t>
      </w:r>
    </w:p>
    <w:p>
      <w:pPr>
        <w:pStyle w:val="ListBullet"/>
        <w:spacing w:after="80" w:line="300" w:lineRule="auto"/>
        <w:ind w:left="540" w:hanging="271"/>
      </w:pPr>
      <w:r>
        <w:rPr>
          <w:rFonts w:ascii="Calibri" w:hAnsi="Calibri" w:eastAsia="STHeiti"/>
          <w:b w:val="0"/>
          <w:color w:val="000000"/>
          <w:sz w:val="21"/>
        </w:rPr>
        <w:t>风险前置与专业协同：涉及价格、合同、数据、系统、客户权益及合规事项，须在上线前完成相应专业评估和会签。</w:t>
      </w:r>
    </w:p>
    <w:p>
      <w:pPr>
        <w:pStyle w:val="ListBullet"/>
        <w:spacing w:after="80" w:line="300" w:lineRule="auto"/>
        <w:ind w:left="540" w:hanging="271"/>
      </w:pPr>
      <w:r>
        <w:rPr>
          <w:rFonts w:ascii="Calibri" w:hAnsi="Calibri" w:eastAsia="STHeiti"/>
          <w:b w:val="0"/>
          <w:color w:val="000000"/>
          <w:sz w:val="21"/>
        </w:rPr>
        <w:t>数据驱动与及时纠偏：按月复盘经营表现，按季度向VPCM提报重点结论和行动计划。</w:t>
      </w:r>
    </w:p>
    <w:p>
      <w:pPr>
        <w:pStyle w:val="ListBullet"/>
        <w:spacing w:after="80" w:line="300" w:lineRule="auto"/>
        <w:ind w:left="540" w:hanging="271"/>
      </w:pPr>
      <w:r>
        <w:rPr>
          <w:rFonts w:ascii="Calibri" w:hAnsi="Calibri" w:eastAsia="STHeiti"/>
          <w:b w:val="0"/>
          <w:color w:val="000000"/>
          <w:sz w:val="21"/>
        </w:rPr>
        <w:t>创新审慎、试点先行：对商业模式创新实行风险分级、限定范围试点、过程监控和结项决策。</w:t>
      </w:r>
    </w:p>
    <w:p>
      <w:pPr>
        <w:pStyle w:val="Heading2"/>
        <w:keepNext/>
      </w:pPr>
      <w:r>
        <w:rPr>
          <w:rFonts w:ascii="Calibri" w:hAnsi="Calibri" w:eastAsia="STHeiti"/>
          <w:b/>
          <w:color w:val="2E74B5"/>
          <w:sz w:val="26"/>
        </w:rPr>
        <w:t>4. 术语与定义</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术语</w:t>
            </w:r>
          </w:p>
        </w:tc>
        <w:tc>
          <w:tcPr>
            <w:tcW w:type="dxa" w:w="72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定义</w:t>
            </w:r>
          </w:p>
        </w:tc>
      </w:tr>
      <w:tr>
        <w:trPr>
          <w:cantSplit/>
        </w:trPr>
        <w:tc>
          <w:tcPr>
            <w:tcW w:type="dxa" w:w="2100"/>
          </w:tcPr>
          <w:p>
            <w:pPr>
              <w:spacing w:after="0" w:line="276" w:lineRule="auto"/>
            </w:pPr>
            <w:r>
              <w:rPr>
                <w:rFonts w:ascii="Calibri" w:hAnsi="Calibri" w:eastAsia="STHeiti"/>
                <w:b w:val="0"/>
                <w:color w:val="000000"/>
                <w:sz w:val="19"/>
              </w:rPr>
              <w:t>辅助营收</w:t>
            </w:r>
          </w:p>
        </w:tc>
        <w:tc>
          <w:tcPr>
            <w:tcW w:type="dxa" w:w="7260"/>
          </w:tcPr>
          <w:p>
            <w:pPr>
              <w:spacing w:after="0" w:line="276" w:lineRule="auto"/>
            </w:pPr>
            <w:r>
              <w:rPr>
                <w:rFonts w:ascii="Calibri" w:hAnsi="Calibri" w:eastAsia="STHeiti"/>
                <w:b w:val="0"/>
                <w:color w:val="000000"/>
                <w:sz w:val="19"/>
              </w:rPr>
              <w:t>指与航空主业或澳航假期销售相关、在机票基础收入之外形成的增值收入。本程序仅规范其与澳航假期产品组合、销售或客户权益直接相关的部分。</w:t>
            </w:r>
          </w:p>
        </w:tc>
      </w:tr>
      <w:tr>
        <w:trPr>
          <w:cantSplit/>
        </w:trPr>
        <w:tc>
          <w:tcPr>
            <w:tcW w:type="dxa" w:w="2100"/>
          </w:tcPr>
          <w:p>
            <w:pPr>
              <w:spacing w:after="0" w:line="276" w:lineRule="auto"/>
            </w:pPr>
            <w:r>
              <w:rPr>
                <w:rFonts w:ascii="Calibri" w:hAnsi="Calibri" w:eastAsia="STHeiti"/>
                <w:b w:val="0"/>
                <w:color w:val="000000"/>
                <w:sz w:val="19"/>
              </w:rPr>
              <w:t>澳航假期</w:t>
            </w:r>
          </w:p>
        </w:tc>
        <w:tc>
          <w:tcPr>
            <w:tcW w:type="dxa" w:w="7260"/>
          </w:tcPr>
          <w:p>
            <w:pPr>
              <w:spacing w:after="0" w:line="276" w:lineRule="auto"/>
            </w:pPr>
            <w:r>
              <w:rPr>
                <w:rFonts w:ascii="Calibri" w:hAnsi="Calibri" w:eastAsia="STHeiti"/>
                <w:b w:val="0"/>
                <w:color w:val="000000"/>
                <w:sz w:val="19"/>
              </w:rPr>
              <w:t>以澳门航空运输服务为核心，组合酒店、地接、保险、景点、交通、餐饮或其他旅游服务形成的单项或打包度假产品。</w:t>
            </w:r>
          </w:p>
        </w:tc>
      </w:tr>
      <w:tr>
        <w:trPr>
          <w:cantSplit/>
        </w:trPr>
        <w:tc>
          <w:tcPr>
            <w:tcW w:type="dxa" w:w="2100"/>
          </w:tcPr>
          <w:p>
            <w:pPr>
              <w:spacing w:after="0" w:line="276" w:lineRule="auto"/>
            </w:pPr>
            <w:r>
              <w:rPr>
                <w:rFonts w:ascii="Calibri" w:hAnsi="Calibri" w:eastAsia="STHeiti"/>
                <w:b w:val="0"/>
                <w:color w:val="000000"/>
                <w:sz w:val="19"/>
              </w:rPr>
              <w:t>产品负责人</w:t>
            </w:r>
          </w:p>
        </w:tc>
        <w:tc>
          <w:tcPr>
            <w:tcW w:type="dxa" w:w="7260"/>
          </w:tcPr>
          <w:p>
            <w:pPr>
              <w:spacing w:after="0" w:line="276" w:lineRule="auto"/>
            </w:pPr>
            <w:r>
              <w:rPr>
                <w:rFonts w:ascii="Calibri" w:hAnsi="Calibri" w:eastAsia="STHeiti"/>
                <w:b w:val="0"/>
                <w:color w:val="000000"/>
                <w:sz w:val="19"/>
              </w:rPr>
              <w:t>经数字化营销服务中心确定，对某一产品或产品线的立项、上线、运营、经营结果和档案完整性承担直接责任的人员。</w:t>
            </w:r>
          </w:p>
        </w:tc>
      </w:tr>
      <w:tr>
        <w:trPr>
          <w:cantSplit/>
        </w:trPr>
        <w:tc>
          <w:tcPr>
            <w:tcW w:type="dxa" w:w="2100"/>
          </w:tcPr>
          <w:p>
            <w:pPr>
              <w:spacing w:after="0" w:line="276" w:lineRule="auto"/>
            </w:pPr>
            <w:r>
              <w:rPr>
                <w:rFonts w:ascii="Calibri" w:hAnsi="Calibri" w:eastAsia="STHeiti"/>
                <w:b w:val="0"/>
                <w:color w:val="000000"/>
                <w:sz w:val="19"/>
              </w:rPr>
              <w:t>产品生命周期</w:t>
            </w:r>
          </w:p>
        </w:tc>
        <w:tc>
          <w:tcPr>
            <w:tcW w:type="dxa" w:w="7260"/>
          </w:tcPr>
          <w:p>
            <w:pPr>
              <w:spacing w:after="0" w:line="276" w:lineRule="auto"/>
            </w:pPr>
            <w:r>
              <w:rPr>
                <w:rFonts w:ascii="Calibri" w:hAnsi="Calibri" w:eastAsia="STHeiti"/>
                <w:b w:val="0"/>
                <w:color w:val="000000"/>
                <w:sz w:val="19"/>
              </w:rPr>
              <w:t>产品从需求识别、立项、设计、上线、运营、优化、下线至归档的全过程。</w:t>
            </w:r>
          </w:p>
        </w:tc>
      </w:tr>
      <w:tr>
        <w:trPr>
          <w:cantSplit/>
        </w:trPr>
        <w:tc>
          <w:tcPr>
            <w:tcW w:type="dxa" w:w="2100"/>
          </w:tcPr>
          <w:p>
            <w:pPr>
              <w:spacing w:after="0" w:line="276" w:lineRule="auto"/>
            </w:pPr>
            <w:r>
              <w:rPr>
                <w:rFonts w:ascii="Calibri" w:hAnsi="Calibri" w:eastAsia="STHeiti"/>
                <w:b w:val="0"/>
                <w:color w:val="000000"/>
                <w:sz w:val="19"/>
              </w:rPr>
              <w:t>商业模式创新</w:t>
            </w:r>
          </w:p>
        </w:tc>
        <w:tc>
          <w:tcPr>
            <w:tcW w:type="dxa" w:w="7260"/>
          </w:tcPr>
          <w:p>
            <w:pPr>
              <w:spacing w:after="0" w:line="276" w:lineRule="auto"/>
            </w:pPr>
            <w:r>
              <w:rPr>
                <w:rFonts w:ascii="Calibri" w:hAnsi="Calibri" w:eastAsia="STHeiti"/>
                <w:b w:val="0"/>
                <w:color w:val="000000"/>
                <w:sz w:val="19"/>
              </w:rPr>
              <w:t>对客户价值、收入来源、定价/结算、渠道、合作关系或交付方式作出实质性新组合或新安排的尝试。</w:t>
            </w:r>
          </w:p>
        </w:tc>
      </w:tr>
      <w:tr>
        <w:trPr>
          <w:cantSplit/>
        </w:trPr>
        <w:tc>
          <w:tcPr>
            <w:tcW w:type="dxa" w:w="2100"/>
          </w:tcPr>
          <w:p>
            <w:pPr>
              <w:spacing w:after="0" w:line="276" w:lineRule="auto"/>
            </w:pPr>
            <w:r>
              <w:rPr>
                <w:rFonts w:ascii="Calibri" w:hAnsi="Calibri" w:eastAsia="STHeiti"/>
                <w:b w:val="0"/>
                <w:color w:val="000000"/>
                <w:sz w:val="19"/>
              </w:rPr>
              <w:t>VPCM</w:t>
            </w:r>
          </w:p>
        </w:tc>
        <w:tc>
          <w:tcPr>
            <w:tcW w:type="dxa" w:w="7260"/>
          </w:tcPr>
          <w:p>
            <w:pPr>
              <w:spacing w:after="0" w:line="276" w:lineRule="auto"/>
            </w:pPr>
            <w:r>
              <w:rPr>
                <w:rFonts w:ascii="Calibri" w:hAnsi="Calibri" w:eastAsia="STHeiti"/>
                <w:b w:val="0"/>
                <w:color w:val="000000"/>
                <w:sz w:val="19"/>
              </w:rPr>
              <w:t>公司管理层经营审阅机制。本程序中负责审阅季度经营结果、重要创新试点评估及重大事项，不替代日常业务审批。</w:t>
            </w:r>
          </w:p>
        </w:tc>
      </w:tr>
    </w:tbl>
    <w:p>
      <w:pPr>
        <w:spacing w:before="0" w:after="60" w:line="300" w:lineRule="auto"/>
      </w:pPr>
    </w:p>
    <w:p>
      <w:pPr>
        <w:pStyle w:val="Heading1"/>
        <w:keepNext/>
      </w:pPr>
      <w:r>
        <w:rPr>
          <w:rFonts w:ascii="Calibri" w:hAnsi="Calibri" w:eastAsia="STHeiti"/>
          <w:b/>
          <w:color w:val="2E74B5"/>
          <w:sz w:val="32"/>
        </w:rPr>
        <w:t>二、组织职责与管理界面</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650"/>
        <w:gridCol w:w="5100"/>
        <w:gridCol w:w="2610"/>
      </w:tblGrid>
      <w:tr>
        <w:trPr>
          <w:cantSplit/>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角色/部门</w:t>
            </w:r>
          </w:p>
        </w:tc>
        <w:tc>
          <w:tcPr>
            <w:tcW w:type="dxa" w:w="51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主要职责</w:t>
            </w:r>
          </w:p>
        </w:tc>
        <w:tc>
          <w:tcPr>
            <w:tcW w:type="dxa" w:w="26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关键输出</w:t>
            </w:r>
          </w:p>
        </w:tc>
      </w:tr>
      <w:tr>
        <w:trPr>
          <w:cantSplit/>
        </w:trPr>
        <w:tc>
          <w:tcPr>
            <w:tcW w:type="dxa" w:w="1650"/>
          </w:tcPr>
          <w:p>
            <w:pPr>
              <w:spacing w:after="0" w:line="276" w:lineRule="auto"/>
            </w:pPr>
            <w:r>
              <w:rPr>
                <w:rFonts w:ascii="Calibri" w:hAnsi="Calibri" w:eastAsia="STHeiti"/>
                <w:b w:val="0"/>
                <w:color w:val="000000"/>
                <w:sz w:val="19"/>
              </w:rPr>
              <w:t>数字化营销服务中心总经理</w:t>
            </w:r>
          </w:p>
        </w:tc>
        <w:tc>
          <w:tcPr>
            <w:tcW w:type="dxa" w:w="5100"/>
          </w:tcPr>
          <w:p>
            <w:pPr>
              <w:spacing w:after="0" w:line="276" w:lineRule="auto"/>
            </w:pPr>
            <w:r>
              <w:rPr>
                <w:rFonts w:ascii="Calibri" w:hAnsi="Calibri" w:eastAsia="STHeiti"/>
                <w:b w:val="0"/>
                <w:color w:val="000000"/>
                <w:sz w:val="19"/>
              </w:rPr>
              <w:t>统筹产品策略、资源协调、立项/上线/变更/下线审批；组织经营复盘；审核创新试点；对重大事项提报VPCM。</w:t>
            </w:r>
          </w:p>
        </w:tc>
        <w:tc>
          <w:tcPr>
            <w:tcW w:type="dxa" w:w="2610"/>
          </w:tcPr>
          <w:p>
            <w:pPr>
              <w:spacing w:after="0" w:line="276" w:lineRule="auto"/>
            </w:pPr>
            <w:r>
              <w:rPr>
                <w:rFonts w:ascii="Calibri" w:hAnsi="Calibri" w:eastAsia="STHeiti"/>
                <w:b w:val="0"/>
                <w:color w:val="000000"/>
                <w:sz w:val="19"/>
              </w:rPr>
              <w:t>审批意见、经营决策、VPCM提报材料</w:t>
            </w:r>
          </w:p>
        </w:tc>
      </w:tr>
      <w:tr>
        <w:trPr>
          <w:cantSplit/>
        </w:trPr>
        <w:tc>
          <w:tcPr>
            <w:tcW w:type="dxa" w:w="1650"/>
          </w:tcPr>
          <w:p>
            <w:pPr>
              <w:spacing w:after="0" w:line="276" w:lineRule="auto"/>
            </w:pPr>
            <w:r>
              <w:rPr>
                <w:rFonts w:ascii="Calibri" w:hAnsi="Calibri" w:eastAsia="STHeiti"/>
                <w:b w:val="0"/>
                <w:color w:val="000000"/>
                <w:sz w:val="19"/>
              </w:rPr>
              <w:t>产品负责人</w:t>
            </w:r>
          </w:p>
        </w:tc>
        <w:tc>
          <w:tcPr>
            <w:tcW w:type="dxa" w:w="5100"/>
          </w:tcPr>
          <w:p>
            <w:pPr>
              <w:spacing w:after="0" w:line="276" w:lineRule="auto"/>
            </w:pPr>
            <w:r>
              <w:rPr>
                <w:rFonts w:ascii="Calibri" w:hAnsi="Calibri" w:eastAsia="STHeiti"/>
                <w:b w:val="0"/>
                <w:color w:val="000000"/>
                <w:sz w:val="19"/>
              </w:rPr>
              <w:t>组织市场研究、方案与测算；维护产品台账；协调上线；监控经营和客户反馈；提出优化、下线与创新建议。</w:t>
            </w:r>
          </w:p>
        </w:tc>
        <w:tc>
          <w:tcPr>
            <w:tcW w:type="dxa" w:w="2610"/>
          </w:tcPr>
          <w:p>
            <w:pPr>
              <w:spacing w:after="0" w:line="276" w:lineRule="auto"/>
            </w:pPr>
            <w:r>
              <w:rPr>
                <w:rFonts w:ascii="Calibri" w:hAnsi="Calibri" w:eastAsia="STHeiti"/>
                <w:b w:val="0"/>
                <w:color w:val="000000"/>
                <w:sz w:val="19"/>
              </w:rPr>
              <w:t>产品包、报告、台账、复盘记录</w:t>
            </w:r>
          </w:p>
        </w:tc>
      </w:tr>
      <w:tr>
        <w:trPr>
          <w:cantSplit/>
        </w:trPr>
        <w:tc>
          <w:tcPr>
            <w:tcW w:type="dxa" w:w="1650"/>
          </w:tcPr>
          <w:p>
            <w:pPr>
              <w:spacing w:after="0" w:line="276" w:lineRule="auto"/>
            </w:pPr>
            <w:r>
              <w:rPr>
                <w:rFonts w:ascii="Calibri" w:hAnsi="Calibri" w:eastAsia="STHeiti"/>
                <w:b w:val="0"/>
                <w:color w:val="000000"/>
                <w:sz w:val="19"/>
              </w:rPr>
              <w:t>销售/渠道</w:t>
            </w:r>
          </w:p>
        </w:tc>
        <w:tc>
          <w:tcPr>
            <w:tcW w:type="dxa" w:w="5100"/>
          </w:tcPr>
          <w:p>
            <w:pPr>
              <w:spacing w:after="0" w:line="276" w:lineRule="auto"/>
            </w:pPr>
            <w:r>
              <w:rPr>
                <w:rFonts w:ascii="Calibri" w:hAnsi="Calibri" w:eastAsia="STHeiti"/>
                <w:b w:val="0"/>
                <w:color w:val="000000"/>
                <w:sz w:val="19"/>
              </w:rPr>
              <w:t>评估渠道适配性、销售预测、推广方案、渠道配置与执行效果。</w:t>
            </w:r>
          </w:p>
        </w:tc>
        <w:tc>
          <w:tcPr>
            <w:tcW w:type="dxa" w:w="2610"/>
          </w:tcPr>
          <w:p>
            <w:pPr>
              <w:spacing w:after="0" w:line="276" w:lineRule="auto"/>
            </w:pPr>
            <w:r>
              <w:rPr>
                <w:rFonts w:ascii="Calibri" w:hAnsi="Calibri" w:eastAsia="STHeiti"/>
                <w:b w:val="0"/>
                <w:color w:val="000000"/>
                <w:sz w:val="19"/>
              </w:rPr>
              <w:t>渠道会签意见、销售计划</w:t>
            </w:r>
          </w:p>
        </w:tc>
      </w:tr>
      <w:tr>
        <w:trPr>
          <w:cantSplit/>
        </w:trPr>
        <w:tc>
          <w:tcPr>
            <w:tcW w:type="dxa" w:w="1650"/>
          </w:tcPr>
          <w:p>
            <w:pPr>
              <w:spacing w:after="0" w:line="276" w:lineRule="auto"/>
            </w:pPr>
            <w:r>
              <w:rPr>
                <w:rFonts w:ascii="Calibri" w:hAnsi="Calibri" w:eastAsia="STHeiti"/>
                <w:b w:val="0"/>
                <w:color w:val="000000"/>
                <w:sz w:val="19"/>
              </w:rPr>
              <w:t>收益/财务</w:t>
            </w:r>
          </w:p>
        </w:tc>
        <w:tc>
          <w:tcPr>
            <w:tcW w:type="dxa" w:w="5100"/>
          </w:tcPr>
          <w:p>
            <w:pPr>
              <w:spacing w:after="0" w:line="276" w:lineRule="auto"/>
            </w:pPr>
            <w:r>
              <w:rPr>
                <w:rFonts w:ascii="Calibri" w:hAnsi="Calibri" w:eastAsia="STHeiti"/>
                <w:b w:val="0"/>
                <w:color w:val="000000"/>
                <w:sz w:val="19"/>
              </w:rPr>
              <w:t>审核定价逻辑、成本、收益测算、结算安排、预算及税务影响。</w:t>
            </w:r>
          </w:p>
        </w:tc>
        <w:tc>
          <w:tcPr>
            <w:tcW w:type="dxa" w:w="2610"/>
          </w:tcPr>
          <w:p>
            <w:pPr>
              <w:spacing w:after="0" w:line="276" w:lineRule="auto"/>
            </w:pPr>
            <w:r>
              <w:rPr>
                <w:rFonts w:ascii="Calibri" w:hAnsi="Calibri" w:eastAsia="STHeiti"/>
                <w:b w:val="0"/>
                <w:color w:val="000000"/>
                <w:sz w:val="19"/>
              </w:rPr>
              <w:t>定价/财务会签意见、经营数据</w:t>
            </w:r>
          </w:p>
        </w:tc>
      </w:tr>
      <w:tr>
        <w:trPr>
          <w:cantSplit/>
        </w:trPr>
        <w:tc>
          <w:tcPr>
            <w:tcW w:type="dxa" w:w="1650"/>
          </w:tcPr>
          <w:p>
            <w:pPr>
              <w:spacing w:after="0" w:line="276" w:lineRule="auto"/>
            </w:pPr>
            <w:r>
              <w:rPr>
                <w:rFonts w:ascii="Calibri" w:hAnsi="Calibri" w:eastAsia="STHeiti"/>
                <w:b w:val="0"/>
                <w:color w:val="000000"/>
                <w:sz w:val="19"/>
              </w:rPr>
              <w:t>法务合规</w:t>
            </w:r>
          </w:p>
        </w:tc>
        <w:tc>
          <w:tcPr>
            <w:tcW w:type="dxa" w:w="5100"/>
          </w:tcPr>
          <w:p>
            <w:pPr>
              <w:spacing w:after="0" w:line="276" w:lineRule="auto"/>
            </w:pPr>
            <w:r>
              <w:rPr>
                <w:rFonts w:ascii="Calibri" w:hAnsi="Calibri" w:eastAsia="STHeiti"/>
                <w:b w:val="0"/>
                <w:color w:val="000000"/>
                <w:sz w:val="19"/>
              </w:rPr>
              <w:t>审核合同、宣传合规、客户权益、数据处理、监管及跨境相关要求。</w:t>
            </w:r>
          </w:p>
        </w:tc>
        <w:tc>
          <w:tcPr>
            <w:tcW w:type="dxa" w:w="2610"/>
          </w:tcPr>
          <w:p>
            <w:pPr>
              <w:spacing w:after="0" w:line="276" w:lineRule="auto"/>
            </w:pPr>
            <w:r>
              <w:rPr>
                <w:rFonts w:ascii="Calibri" w:hAnsi="Calibri" w:eastAsia="STHeiti"/>
                <w:b w:val="0"/>
                <w:color w:val="000000"/>
                <w:sz w:val="19"/>
              </w:rPr>
              <w:t>合规意见、合同审查意见</w:t>
            </w:r>
          </w:p>
        </w:tc>
      </w:tr>
      <w:tr>
        <w:trPr>
          <w:cantSplit/>
        </w:trPr>
        <w:tc>
          <w:tcPr>
            <w:tcW w:type="dxa" w:w="1650"/>
          </w:tcPr>
          <w:p>
            <w:pPr>
              <w:spacing w:after="0" w:line="276" w:lineRule="auto"/>
            </w:pPr>
            <w:r>
              <w:rPr>
                <w:rFonts w:ascii="Calibri" w:hAnsi="Calibri" w:eastAsia="STHeiti"/>
                <w:b w:val="0"/>
                <w:color w:val="000000"/>
                <w:sz w:val="19"/>
              </w:rPr>
              <w:t>信息技术/数字化</w:t>
            </w:r>
          </w:p>
        </w:tc>
        <w:tc>
          <w:tcPr>
            <w:tcW w:type="dxa" w:w="5100"/>
          </w:tcPr>
          <w:p>
            <w:pPr>
              <w:spacing w:after="0" w:line="276" w:lineRule="auto"/>
            </w:pPr>
            <w:r>
              <w:rPr>
                <w:rFonts w:ascii="Calibri" w:hAnsi="Calibri" w:eastAsia="STHeiti"/>
                <w:b w:val="0"/>
                <w:color w:val="000000"/>
                <w:sz w:val="19"/>
              </w:rPr>
              <w:t>评估系统实现、接口、数据安全、测试及上线变更。</w:t>
            </w:r>
          </w:p>
        </w:tc>
        <w:tc>
          <w:tcPr>
            <w:tcW w:type="dxa" w:w="2610"/>
          </w:tcPr>
          <w:p>
            <w:pPr>
              <w:spacing w:after="0" w:line="276" w:lineRule="auto"/>
            </w:pPr>
            <w:r>
              <w:rPr>
                <w:rFonts w:ascii="Calibri" w:hAnsi="Calibri" w:eastAsia="STHeiti"/>
                <w:b w:val="0"/>
                <w:color w:val="000000"/>
                <w:sz w:val="19"/>
              </w:rPr>
              <w:t>技术评估、测试验收记录</w:t>
            </w:r>
          </w:p>
        </w:tc>
      </w:tr>
      <w:tr>
        <w:trPr>
          <w:cantSplit/>
        </w:trPr>
        <w:tc>
          <w:tcPr>
            <w:tcW w:type="dxa" w:w="1650"/>
          </w:tcPr>
          <w:p>
            <w:pPr>
              <w:spacing w:after="0" w:line="276" w:lineRule="auto"/>
            </w:pPr>
            <w:r>
              <w:rPr>
                <w:rFonts w:ascii="Calibri" w:hAnsi="Calibri" w:eastAsia="STHeiti"/>
                <w:b w:val="0"/>
                <w:color w:val="000000"/>
                <w:sz w:val="19"/>
              </w:rPr>
              <w:t>客服/运行/供应商管理</w:t>
            </w:r>
          </w:p>
        </w:tc>
        <w:tc>
          <w:tcPr>
            <w:tcW w:type="dxa" w:w="5100"/>
          </w:tcPr>
          <w:p>
            <w:pPr>
              <w:spacing w:after="0" w:line="276" w:lineRule="auto"/>
            </w:pPr>
            <w:r>
              <w:rPr>
                <w:rFonts w:ascii="Calibri" w:hAnsi="Calibri" w:eastAsia="STHeiti"/>
                <w:b w:val="0"/>
                <w:color w:val="000000"/>
                <w:sz w:val="19"/>
              </w:rPr>
              <w:t>评估服务交付、售后、应急处置和供应商履约；处理客户反馈。</w:t>
            </w:r>
          </w:p>
        </w:tc>
        <w:tc>
          <w:tcPr>
            <w:tcW w:type="dxa" w:w="2610"/>
          </w:tcPr>
          <w:p>
            <w:pPr>
              <w:spacing w:after="0" w:line="276" w:lineRule="auto"/>
            </w:pPr>
            <w:r>
              <w:rPr>
                <w:rFonts w:ascii="Calibri" w:hAnsi="Calibri" w:eastAsia="STHeiti"/>
                <w:b w:val="0"/>
                <w:color w:val="000000"/>
                <w:sz w:val="19"/>
              </w:rPr>
              <w:t>服务标准、履约与投诉数据</w:t>
            </w:r>
          </w:p>
        </w:tc>
      </w:tr>
      <w:tr>
        <w:trPr>
          <w:cantSplit/>
        </w:trPr>
        <w:tc>
          <w:tcPr>
            <w:tcW w:type="dxa" w:w="1650"/>
          </w:tcPr>
          <w:p>
            <w:pPr>
              <w:spacing w:after="0" w:line="276" w:lineRule="auto"/>
            </w:pPr>
            <w:r>
              <w:rPr>
                <w:rFonts w:ascii="Calibri" w:hAnsi="Calibri" w:eastAsia="STHeiti"/>
                <w:b w:val="0"/>
                <w:color w:val="000000"/>
                <w:sz w:val="19"/>
              </w:rPr>
              <w:t>VPCM</w:t>
            </w:r>
          </w:p>
        </w:tc>
        <w:tc>
          <w:tcPr>
            <w:tcW w:type="dxa" w:w="5100"/>
          </w:tcPr>
          <w:p>
            <w:pPr>
              <w:spacing w:after="0" w:line="276" w:lineRule="auto"/>
            </w:pPr>
            <w:r>
              <w:rPr>
                <w:rFonts w:ascii="Calibri" w:hAnsi="Calibri" w:eastAsia="STHeiti"/>
                <w:b w:val="0"/>
                <w:color w:val="000000"/>
                <w:sz w:val="19"/>
              </w:rPr>
              <w:t>审阅季度经营、重要创新试点及重大产品事项，提出经营指导意见。</w:t>
            </w:r>
          </w:p>
        </w:tc>
        <w:tc>
          <w:tcPr>
            <w:tcW w:type="dxa" w:w="2610"/>
          </w:tcPr>
          <w:p>
            <w:pPr>
              <w:spacing w:after="0" w:line="276" w:lineRule="auto"/>
            </w:pPr>
            <w:r>
              <w:rPr>
                <w:rFonts w:ascii="Calibri" w:hAnsi="Calibri" w:eastAsia="STHeiti"/>
                <w:b w:val="0"/>
                <w:color w:val="000000"/>
                <w:sz w:val="19"/>
              </w:rPr>
              <w:t>审阅结论、行动要求</w:t>
            </w:r>
          </w:p>
        </w:tc>
      </w:tr>
    </w:tbl>
    <w:p>
      <w:pPr>
        <w:spacing w:before="0" w:after="60" w:line="300" w:lineRule="auto"/>
      </w:pP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eastAsia="STHeiti"/>
                <w:b/>
                <w:color w:val="1F4D78"/>
                <w:sz w:val="20"/>
              </w:rPr>
              <w:t>职责边界：</w:t>
            </w:r>
            <w:r>
              <w:rPr>
                <w:rFonts w:ascii="Calibri" w:hAnsi="Calibri" w:eastAsia="STHeiti"/>
                <w:b w:val="0"/>
                <w:color w:val="000000"/>
                <w:sz w:val="20"/>
              </w:rPr>
              <w:t>产品负责人不得以“试点”名义绕过合同、采购、财务、数据安全或客户权益保护要求；专业部门会签意见为上线和继续经营的必要条件。</w:t>
            </w:r>
          </w:p>
        </w:tc>
      </w:tr>
    </w:tbl>
    <w:p>
      <w:pPr>
        <w:spacing w:before="0" w:after="80" w:line="300" w:lineRule="auto"/>
      </w:pPr>
    </w:p>
    <w:p>
      <w:pPr>
        <w:pStyle w:val="Heading1"/>
        <w:keepNext/>
      </w:pPr>
      <w:r>
        <w:rPr>
          <w:rFonts w:ascii="Calibri" w:hAnsi="Calibri" w:eastAsia="STHeiti"/>
          <w:b/>
          <w:color w:val="2E74B5"/>
          <w:sz w:val="32"/>
        </w:rPr>
        <w:t>三、产品分类、台账与生命周期总览</w:t>
      </w:r>
    </w:p>
    <w:p>
      <w:pPr>
        <w:pStyle w:val="Heading2"/>
        <w:keepNext/>
      </w:pPr>
      <w:r>
        <w:rPr>
          <w:rFonts w:ascii="Calibri" w:hAnsi="Calibri" w:eastAsia="STHeiti"/>
          <w:b/>
          <w:color w:val="2E74B5"/>
          <w:sz w:val="26"/>
        </w:rPr>
        <w:t>1. 产品分类与范围</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800"/>
        <w:gridCol w:w="4500"/>
        <w:gridCol w:w="3060"/>
      </w:tblGrid>
      <w:tr>
        <w:trPr>
          <w:cantSplit/>
          <w:tblHeader w:val="true"/>
        </w:trPr>
        <w:tc>
          <w:tcPr>
            <w:tcW w:type="dxa" w:w="18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类别</w:t>
            </w:r>
          </w:p>
        </w:tc>
        <w:tc>
          <w:tcPr>
            <w:tcW w:type="dxa" w:w="45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主要内容</w:t>
            </w:r>
          </w:p>
        </w:tc>
        <w:tc>
          <w:tcPr>
            <w:tcW w:type="dxa" w:w="30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管理重点</w:t>
            </w:r>
          </w:p>
        </w:tc>
      </w:tr>
      <w:tr>
        <w:trPr>
          <w:cantSplit/>
        </w:trPr>
        <w:tc>
          <w:tcPr>
            <w:tcW w:type="dxa" w:w="1800"/>
          </w:tcPr>
          <w:p>
            <w:pPr>
              <w:spacing w:after="0" w:line="276" w:lineRule="auto"/>
            </w:pPr>
            <w:r>
              <w:rPr>
                <w:rFonts w:ascii="Calibri" w:hAnsi="Calibri" w:eastAsia="STHeiti"/>
                <w:b w:val="0"/>
                <w:color w:val="000000"/>
                <w:sz w:val="19"/>
              </w:rPr>
              <w:t>机票+住宿</w:t>
            </w:r>
          </w:p>
        </w:tc>
        <w:tc>
          <w:tcPr>
            <w:tcW w:type="dxa" w:w="4500"/>
          </w:tcPr>
          <w:p>
            <w:pPr>
              <w:spacing w:after="0" w:line="276" w:lineRule="auto"/>
            </w:pPr>
            <w:r>
              <w:rPr>
                <w:rFonts w:ascii="Calibri" w:hAnsi="Calibri" w:eastAsia="STHeiti"/>
                <w:b w:val="0"/>
                <w:color w:val="000000"/>
                <w:sz w:val="19"/>
              </w:rPr>
              <w:t>机票与酒店、度假村、民宿等组合。</w:t>
            </w:r>
          </w:p>
        </w:tc>
        <w:tc>
          <w:tcPr>
            <w:tcW w:type="dxa" w:w="3060"/>
          </w:tcPr>
          <w:p>
            <w:pPr>
              <w:spacing w:after="0" w:line="276" w:lineRule="auto"/>
            </w:pPr>
            <w:r>
              <w:rPr>
                <w:rFonts w:ascii="Calibri" w:hAnsi="Calibri" w:eastAsia="STHeiti"/>
                <w:b w:val="0"/>
                <w:color w:val="000000"/>
                <w:sz w:val="19"/>
              </w:rPr>
              <w:t>库存、价格、取消规则、酒店质量与结算。</w:t>
            </w:r>
          </w:p>
        </w:tc>
      </w:tr>
      <w:tr>
        <w:trPr>
          <w:cantSplit/>
        </w:trPr>
        <w:tc>
          <w:tcPr>
            <w:tcW w:type="dxa" w:w="1800"/>
          </w:tcPr>
          <w:p>
            <w:pPr>
              <w:spacing w:after="0" w:line="276" w:lineRule="auto"/>
            </w:pPr>
            <w:r>
              <w:rPr>
                <w:rFonts w:ascii="Calibri" w:hAnsi="Calibri" w:eastAsia="STHeiti"/>
                <w:b w:val="0"/>
                <w:color w:val="000000"/>
                <w:sz w:val="19"/>
              </w:rPr>
              <w:t>机票+地接/体验</w:t>
            </w:r>
          </w:p>
        </w:tc>
        <w:tc>
          <w:tcPr>
            <w:tcW w:type="dxa" w:w="4500"/>
          </w:tcPr>
          <w:p>
            <w:pPr>
              <w:spacing w:after="0" w:line="276" w:lineRule="auto"/>
            </w:pPr>
            <w:r>
              <w:rPr>
                <w:rFonts w:ascii="Calibri" w:hAnsi="Calibri" w:eastAsia="STHeiti"/>
                <w:b w:val="0"/>
                <w:color w:val="000000"/>
                <w:sz w:val="19"/>
              </w:rPr>
              <w:t>机票与接送、当地游、景点门票、活动体验等组合。</w:t>
            </w:r>
          </w:p>
        </w:tc>
        <w:tc>
          <w:tcPr>
            <w:tcW w:type="dxa" w:w="3060"/>
          </w:tcPr>
          <w:p>
            <w:pPr>
              <w:spacing w:after="0" w:line="276" w:lineRule="auto"/>
            </w:pPr>
            <w:r>
              <w:rPr>
                <w:rFonts w:ascii="Calibri" w:hAnsi="Calibri" w:eastAsia="STHeiti"/>
                <w:b w:val="0"/>
                <w:color w:val="000000"/>
                <w:sz w:val="19"/>
              </w:rPr>
              <w:t>服务衔接、履约能力、安全责任及应急联络。</w:t>
            </w:r>
          </w:p>
        </w:tc>
      </w:tr>
      <w:tr>
        <w:trPr>
          <w:cantSplit/>
        </w:trPr>
        <w:tc>
          <w:tcPr>
            <w:tcW w:type="dxa" w:w="1800"/>
          </w:tcPr>
          <w:p>
            <w:pPr>
              <w:spacing w:after="0" w:line="276" w:lineRule="auto"/>
            </w:pPr>
            <w:r>
              <w:rPr>
                <w:rFonts w:ascii="Calibri" w:hAnsi="Calibri" w:eastAsia="STHeiti"/>
                <w:b w:val="0"/>
                <w:color w:val="000000"/>
                <w:sz w:val="19"/>
              </w:rPr>
              <w:t>机票+保障服务</w:t>
            </w:r>
          </w:p>
        </w:tc>
        <w:tc>
          <w:tcPr>
            <w:tcW w:type="dxa" w:w="4500"/>
          </w:tcPr>
          <w:p>
            <w:pPr>
              <w:spacing w:after="0" w:line="276" w:lineRule="auto"/>
            </w:pPr>
            <w:r>
              <w:rPr>
                <w:rFonts w:ascii="Calibri" w:hAnsi="Calibri" w:eastAsia="STHeiti"/>
                <w:b w:val="0"/>
                <w:color w:val="000000"/>
                <w:sz w:val="19"/>
              </w:rPr>
              <w:t>机票与保险、签证协助、延误保障等组合。</w:t>
            </w:r>
          </w:p>
        </w:tc>
        <w:tc>
          <w:tcPr>
            <w:tcW w:type="dxa" w:w="3060"/>
          </w:tcPr>
          <w:p>
            <w:pPr>
              <w:spacing w:after="0" w:line="276" w:lineRule="auto"/>
            </w:pPr>
            <w:r>
              <w:rPr>
                <w:rFonts w:ascii="Calibri" w:hAnsi="Calibri" w:eastAsia="STHeiti"/>
                <w:b w:val="0"/>
                <w:color w:val="000000"/>
                <w:sz w:val="19"/>
              </w:rPr>
              <w:t>销售资格、披露义务、客户告知及理赔衔接。</w:t>
            </w:r>
          </w:p>
        </w:tc>
      </w:tr>
      <w:tr>
        <w:trPr>
          <w:cantSplit/>
        </w:trPr>
        <w:tc>
          <w:tcPr>
            <w:tcW w:type="dxa" w:w="1800"/>
          </w:tcPr>
          <w:p>
            <w:pPr>
              <w:spacing w:after="0" w:line="276" w:lineRule="auto"/>
            </w:pPr>
            <w:r>
              <w:rPr>
                <w:rFonts w:ascii="Calibri" w:hAnsi="Calibri" w:eastAsia="STHeiti"/>
                <w:b w:val="0"/>
                <w:color w:val="000000"/>
                <w:sz w:val="19"/>
              </w:rPr>
              <w:t>主题/定制假期</w:t>
            </w:r>
          </w:p>
        </w:tc>
        <w:tc>
          <w:tcPr>
            <w:tcW w:type="dxa" w:w="4500"/>
          </w:tcPr>
          <w:p>
            <w:pPr>
              <w:spacing w:after="0" w:line="276" w:lineRule="auto"/>
            </w:pPr>
            <w:r>
              <w:rPr>
                <w:rFonts w:ascii="Calibri" w:hAnsi="Calibri" w:eastAsia="STHeiti"/>
                <w:b w:val="0"/>
                <w:color w:val="000000"/>
                <w:sz w:val="19"/>
              </w:rPr>
              <w:t>围绕节庆、商务会奖、亲子、康养等主题的组合产品。</w:t>
            </w:r>
          </w:p>
        </w:tc>
        <w:tc>
          <w:tcPr>
            <w:tcW w:type="dxa" w:w="3060"/>
          </w:tcPr>
          <w:p>
            <w:pPr>
              <w:spacing w:after="0" w:line="276" w:lineRule="auto"/>
            </w:pPr>
            <w:r>
              <w:rPr>
                <w:rFonts w:ascii="Calibri" w:hAnsi="Calibri" w:eastAsia="STHeiti"/>
                <w:b w:val="0"/>
                <w:color w:val="000000"/>
                <w:sz w:val="19"/>
              </w:rPr>
              <w:t>客群定位、最小成团、资源锁定和交付边界。</w:t>
            </w:r>
          </w:p>
        </w:tc>
      </w:tr>
      <w:tr>
        <w:trPr>
          <w:cantSplit/>
        </w:trPr>
        <w:tc>
          <w:tcPr>
            <w:tcW w:type="dxa" w:w="1800"/>
          </w:tcPr>
          <w:p>
            <w:pPr>
              <w:spacing w:after="0" w:line="276" w:lineRule="auto"/>
            </w:pPr>
            <w:r>
              <w:rPr>
                <w:rFonts w:ascii="Calibri" w:hAnsi="Calibri" w:eastAsia="STHeiti"/>
                <w:b w:val="0"/>
                <w:color w:val="000000"/>
                <w:sz w:val="19"/>
              </w:rPr>
              <w:t>相关辅助营收</w:t>
            </w:r>
          </w:p>
        </w:tc>
        <w:tc>
          <w:tcPr>
            <w:tcW w:type="dxa" w:w="4500"/>
          </w:tcPr>
          <w:p>
            <w:pPr>
              <w:spacing w:after="0" w:line="276" w:lineRule="auto"/>
            </w:pPr>
            <w:r>
              <w:rPr>
                <w:rFonts w:ascii="Calibri" w:hAnsi="Calibri" w:eastAsia="STHeiti"/>
                <w:b w:val="0"/>
                <w:color w:val="000000"/>
                <w:sz w:val="19"/>
              </w:rPr>
              <w:t>与上述产品直接绑定的增值服务、会员权益、渠道合作等。</w:t>
            </w:r>
          </w:p>
        </w:tc>
        <w:tc>
          <w:tcPr>
            <w:tcW w:type="dxa" w:w="3060"/>
          </w:tcPr>
          <w:p>
            <w:pPr>
              <w:spacing w:after="0" w:line="276" w:lineRule="auto"/>
            </w:pPr>
            <w:r>
              <w:rPr>
                <w:rFonts w:ascii="Calibri" w:hAnsi="Calibri" w:eastAsia="STHeiti"/>
                <w:b w:val="0"/>
                <w:color w:val="000000"/>
                <w:sz w:val="19"/>
              </w:rPr>
              <w:t>不得脱离本程序适用范围另行扩展。</w:t>
            </w:r>
          </w:p>
        </w:tc>
      </w:tr>
    </w:tbl>
    <w:p>
      <w:pPr>
        <w:spacing w:before="0" w:after="60" w:line="300" w:lineRule="auto"/>
      </w:pPr>
    </w:p>
    <w:p>
      <w:pPr>
        <w:pStyle w:val="Heading2"/>
        <w:keepNext/>
      </w:pPr>
      <w:r>
        <w:rPr>
          <w:rFonts w:ascii="Calibri" w:hAnsi="Calibri" w:eastAsia="STHeiti"/>
          <w:b/>
          <w:color w:val="2E74B5"/>
          <w:sz w:val="26"/>
        </w:rPr>
        <w:t>2. 澳航假期产品台账</w:t>
      </w:r>
    </w:p>
    <w:p>
      <w:pPr>
        <w:spacing w:before="0" w:after="120" w:line="300" w:lineRule="auto"/>
      </w:pPr>
      <w:r>
        <w:rPr>
          <w:rFonts w:ascii="Calibri" w:hAnsi="Calibri" w:eastAsia="STHeiti"/>
          <w:b w:val="0"/>
          <w:color w:val="000000"/>
          <w:sz w:val="21"/>
        </w:rPr>
        <w:t>产品负责人应建立并持续维护“澳航假期产品台账”，作为唯一产品主数据和经营管理基础。台账至少包括：产品编号、名称、分类、目标客群、组合内容、供应商、销售渠道、价格/成本、责任人、合同状态、系统状态、生命周期状态、关键指标、风险等级、审批编号、重要变更记录及下线日期。</w:t>
      </w:r>
    </w:p>
    <w:p>
      <w:pPr>
        <w:keepNext/>
        <w:spacing w:before="80" w:after="80" w:line="300" w:lineRule="auto"/>
      </w:pPr>
      <w:r>
        <w:rPr>
          <w:rFonts w:ascii="Calibri" w:hAnsi="Calibri" w:eastAsia="STHeiti"/>
          <w:b/>
          <w:color w:val="1F4D78"/>
          <w:sz w:val="21"/>
        </w:rPr>
        <w:t>产品生命周期总流程</w:t>
      </w:r>
    </w:p>
    <w:p>
      <w:pPr>
        <w:spacing w:after="140" w:line="264" w:lineRule="auto"/>
        <w:jc w:val="center"/>
      </w:pPr>
      <w:r>
        <w:rPr>
          <w:rFonts w:ascii="Calibri" w:hAnsi="Calibri" w:eastAsia="STHeiti"/>
          <w:b/>
          <w:color w:val="FFFFFF"/>
          <w:sz w:val="19"/>
          <w:shd w:fill="2E74B5"/>
        </w:rPr>
        <w:t>需求识别</w:t>
      </w:r>
      <w:r>
        <w:rPr>
          <w:rFonts w:ascii="Calibri" w:hAnsi="Calibri" w:eastAsia="STHeiti"/>
          <w:b/>
          <w:color w:val="5B6573"/>
          <w:sz w:val="18"/>
        </w:rPr>
        <w:t xml:space="preserve">  →  </w:t>
      </w:r>
      <w:r>
        <w:rPr>
          <w:rFonts w:ascii="Calibri" w:hAnsi="Calibri" w:eastAsia="STHeiti"/>
          <w:b/>
          <w:color w:val="FFFFFF"/>
          <w:sz w:val="19"/>
          <w:shd w:fill="1F4D78"/>
        </w:rPr>
        <w:t>立项审批</w:t>
      </w:r>
      <w:r>
        <w:rPr>
          <w:rFonts w:ascii="Calibri" w:hAnsi="Calibri" w:eastAsia="STHeiti"/>
          <w:b/>
          <w:color w:val="5B6573"/>
          <w:sz w:val="18"/>
        </w:rPr>
        <w:t xml:space="preserve">  →  </w:t>
      </w:r>
      <w:r>
        <w:rPr>
          <w:rFonts w:ascii="Calibri" w:hAnsi="Calibri" w:eastAsia="STHeiti"/>
          <w:b/>
          <w:color w:val="FFFFFF"/>
          <w:sz w:val="19"/>
          <w:shd w:fill="2E74B5"/>
        </w:rPr>
        <w:t>设计与定价</w:t>
      </w:r>
      <w:r>
        <w:rPr>
          <w:rFonts w:ascii="Calibri" w:hAnsi="Calibri" w:eastAsia="STHeiti"/>
          <w:b/>
          <w:color w:val="5B6573"/>
          <w:sz w:val="18"/>
        </w:rPr>
        <w:t xml:space="preserve">  →  </w:t>
      </w:r>
      <w:r>
        <w:rPr>
          <w:rFonts w:ascii="Calibri" w:hAnsi="Calibri" w:eastAsia="STHeiti"/>
          <w:b/>
          <w:color w:val="FFFFFF"/>
          <w:sz w:val="19"/>
          <w:shd w:fill="1F4D78"/>
        </w:rPr>
        <w:t>系统配置/验收</w:t>
      </w:r>
      <w:r>
        <w:rPr>
          <w:rFonts w:ascii="Calibri" w:hAnsi="Calibri" w:eastAsia="STHeiti"/>
          <w:b/>
          <w:color w:val="5B6573"/>
          <w:sz w:val="18"/>
        </w:rPr>
        <w:t xml:space="preserve">  →  </w:t>
      </w:r>
      <w:r>
        <w:rPr>
          <w:rFonts w:ascii="Calibri" w:hAnsi="Calibri" w:eastAsia="STHeiti"/>
          <w:b/>
          <w:color w:val="FFFFFF"/>
          <w:sz w:val="19"/>
          <w:shd w:fill="2E74B5"/>
        </w:rPr>
        <w:t>上线发布</w:t>
      </w:r>
      <w:r>
        <w:rPr>
          <w:rFonts w:ascii="Calibri" w:hAnsi="Calibri" w:eastAsia="STHeiti"/>
          <w:b/>
          <w:color w:val="5B6573"/>
          <w:sz w:val="18"/>
        </w:rPr>
        <w:t xml:space="preserve">  →  </w:t>
      </w:r>
      <w:r>
        <w:rPr>
          <w:rFonts w:ascii="Calibri" w:hAnsi="Calibri" w:eastAsia="STHeiti"/>
          <w:b/>
          <w:color w:val="FFFFFF"/>
          <w:sz w:val="19"/>
          <w:shd w:fill="1F4D78"/>
        </w:rPr>
        <w:t>运营复盘</w:t>
      </w:r>
      <w:r>
        <w:rPr>
          <w:rFonts w:ascii="Calibri" w:hAnsi="Calibri" w:eastAsia="STHeiti"/>
          <w:b/>
          <w:color w:val="5B6573"/>
          <w:sz w:val="18"/>
        </w:rPr>
        <w:t xml:space="preserve">  →  </w:t>
      </w:r>
      <w:r>
        <w:rPr>
          <w:rFonts w:ascii="Calibri" w:hAnsi="Calibri" w:eastAsia="STHeiti"/>
          <w:b/>
          <w:color w:val="FFFFFF"/>
          <w:sz w:val="19"/>
          <w:shd w:fill="2E74B5"/>
        </w:rPr>
        <w:t>优化/变更</w:t>
      </w:r>
      <w:r>
        <w:rPr>
          <w:rFonts w:ascii="Calibri" w:hAnsi="Calibri" w:eastAsia="STHeiti"/>
          <w:b/>
          <w:color w:val="5B6573"/>
          <w:sz w:val="18"/>
        </w:rPr>
        <w:t xml:space="preserve">  →  </w:t>
      </w:r>
      <w:r>
        <w:rPr>
          <w:rFonts w:ascii="Calibri" w:hAnsi="Calibri" w:eastAsia="STHeiti"/>
          <w:b/>
          <w:color w:val="FFFFFF"/>
          <w:sz w:val="19"/>
          <w:shd w:fill="1F4D78"/>
        </w:rPr>
        <w:t>下线归档</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150"/>
        <w:gridCol w:w="2100"/>
        <w:gridCol w:w="3700"/>
        <w:gridCol w:w="2410"/>
      </w:tblGrid>
      <w:tr>
        <w:trPr>
          <w:cantSplit/>
          <w:tblHeader w:val="true"/>
        </w:trPr>
        <w:tc>
          <w:tcPr>
            <w:tcW w:type="dxa" w:w="11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阶段</w:t>
            </w:r>
          </w:p>
        </w:tc>
        <w:tc>
          <w:tcPr>
            <w:tcW w:type="dxa" w:w="21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准入条件</w:t>
            </w:r>
          </w:p>
        </w:tc>
        <w:tc>
          <w:tcPr>
            <w:tcW w:type="dxa" w:w="37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核心控制点</w:t>
            </w:r>
          </w:p>
        </w:tc>
        <w:tc>
          <w:tcPr>
            <w:tcW w:type="dxa" w:w="24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阶段输出</w:t>
            </w:r>
          </w:p>
        </w:tc>
      </w:tr>
      <w:tr>
        <w:trPr>
          <w:cantSplit/>
        </w:trPr>
        <w:tc>
          <w:tcPr>
            <w:tcW w:type="dxa" w:w="1150"/>
          </w:tcPr>
          <w:p>
            <w:pPr>
              <w:spacing w:after="0" w:line="276" w:lineRule="auto"/>
            </w:pPr>
            <w:r>
              <w:rPr>
                <w:rFonts w:ascii="Calibri" w:hAnsi="Calibri" w:eastAsia="STHeiti"/>
                <w:b w:val="0"/>
                <w:color w:val="000000"/>
                <w:sz w:val="19"/>
              </w:rPr>
              <w:t>立项</w:t>
            </w:r>
          </w:p>
        </w:tc>
        <w:tc>
          <w:tcPr>
            <w:tcW w:type="dxa" w:w="2100"/>
          </w:tcPr>
          <w:p>
            <w:pPr>
              <w:spacing w:after="0" w:line="276" w:lineRule="auto"/>
            </w:pPr>
            <w:r>
              <w:rPr>
                <w:rFonts w:ascii="Calibri" w:hAnsi="Calibri" w:eastAsia="STHeiti"/>
                <w:b w:val="0"/>
                <w:color w:val="000000"/>
                <w:sz w:val="19"/>
              </w:rPr>
              <w:t>需求与初步机会明确</w:t>
            </w:r>
          </w:p>
        </w:tc>
        <w:tc>
          <w:tcPr>
            <w:tcW w:type="dxa" w:w="3700"/>
          </w:tcPr>
          <w:p>
            <w:pPr>
              <w:spacing w:after="0" w:line="276" w:lineRule="auto"/>
            </w:pPr>
            <w:r>
              <w:rPr>
                <w:rFonts w:ascii="Calibri" w:hAnsi="Calibri" w:eastAsia="STHeiti"/>
                <w:b w:val="0"/>
                <w:color w:val="000000"/>
                <w:sz w:val="19"/>
              </w:rPr>
              <w:t>市场、可行性、收益、风险及资源评估</w:t>
            </w:r>
          </w:p>
        </w:tc>
        <w:tc>
          <w:tcPr>
            <w:tcW w:type="dxa" w:w="2410"/>
          </w:tcPr>
          <w:p>
            <w:pPr>
              <w:spacing w:after="0" w:line="276" w:lineRule="auto"/>
            </w:pPr>
            <w:r>
              <w:rPr>
                <w:rFonts w:ascii="Calibri" w:hAnsi="Calibri" w:eastAsia="STHeiti"/>
                <w:b w:val="0"/>
                <w:color w:val="000000"/>
                <w:sz w:val="19"/>
              </w:rPr>
              <w:t>已批准立项申请</w:t>
            </w:r>
          </w:p>
        </w:tc>
      </w:tr>
      <w:tr>
        <w:trPr>
          <w:cantSplit/>
        </w:trPr>
        <w:tc>
          <w:tcPr>
            <w:tcW w:type="dxa" w:w="1150"/>
          </w:tcPr>
          <w:p>
            <w:pPr>
              <w:spacing w:after="0" w:line="276" w:lineRule="auto"/>
            </w:pPr>
            <w:r>
              <w:rPr>
                <w:rFonts w:ascii="Calibri" w:hAnsi="Calibri" w:eastAsia="STHeiti"/>
                <w:b w:val="0"/>
                <w:color w:val="000000"/>
                <w:sz w:val="19"/>
              </w:rPr>
              <w:t>设计上线</w:t>
            </w:r>
          </w:p>
        </w:tc>
        <w:tc>
          <w:tcPr>
            <w:tcW w:type="dxa" w:w="2100"/>
          </w:tcPr>
          <w:p>
            <w:pPr>
              <w:spacing w:after="0" w:line="276" w:lineRule="auto"/>
            </w:pPr>
            <w:r>
              <w:rPr>
                <w:rFonts w:ascii="Calibri" w:hAnsi="Calibri" w:eastAsia="STHeiti"/>
                <w:b w:val="0"/>
                <w:color w:val="000000"/>
                <w:sz w:val="19"/>
              </w:rPr>
              <w:t>合作及交付方案可落地</w:t>
            </w:r>
          </w:p>
        </w:tc>
        <w:tc>
          <w:tcPr>
            <w:tcW w:type="dxa" w:w="3700"/>
          </w:tcPr>
          <w:p>
            <w:pPr>
              <w:spacing w:after="0" w:line="276" w:lineRule="auto"/>
            </w:pPr>
            <w:r>
              <w:rPr>
                <w:rFonts w:ascii="Calibri" w:hAnsi="Calibri" w:eastAsia="STHeiti"/>
                <w:b w:val="0"/>
                <w:color w:val="000000"/>
                <w:sz w:val="19"/>
              </w:rPr>
              <w:t>价格、合同、系统、宣传、服务和测试验收</w:t>
            </w:r>
          </w:p>
        </w:tc>
        <w:tc>
          <w:tcPr>
            <w:tcW w:type="dxa" w:w="2410"/>
          </w:tcPr>
          <w:p>
            <w:pPr>
              <w:spacing w:after="0" w:line="276" w:lineRule="auto"/>
            </w:pPr>
            <w:r>
              <w:rPr>
                <w:rFonts w:ascii="Calibri" w:hAnsi="Calibri" w:eastAsia="STHeiti"/>
                <w:b w:val="0"/>
                <w:color w:val="000000"/>
                <w:sz w:val="19"/>
              </w:rPr>
              <w:t>批准上线包</w:t>
            </w:r>
          </w:p>
        </w:tc>
      </w:tr>
      <w:tr>
        <w:trPr>
          <w:cantSplit/>
        </w:trPr>
        <w:tc>
          <w:tcPr>
            <w:tcW w:type="dxa" w:w="1150"/>
          </w:tcPr>
          <w:p>
            <w:pPr>
              <w:spacing w:after="0" w:line="276" w:lineRule="auto"/>
            </w:pPr>
            <w:r>
              <w:rPr>
                <w:rFonts w:ascii="Calibri" w:hAnsi="Calibri" w:eastAsia="STHeiti"/>
                <w:b w:val="0"/>
                <w:color w:val="000000"/>
                <w:sz w:val="19"/>
              </w:rPr>
              <w:t>运营优化</w:t>
            </w:r>
          </w:p>
        </w:tc>
        <w:tc>
          <w:tcPr>
            <w:tcW w:type="dxa" w:w="2100"/>
          </w:tcPr>
          <w:p>
            <w:pPr>
              <w:spacing w:after="0" w:line="276" w:lineRule="auto"/>
            </w:pPr>
            <w:r>
              <w:rPr>
                <w:rFonts w:ascii="Calibri" w:hAnsi="Calibri" w:eastAsia="STHeiti"/>
                <w:b w:val="0"/>
                <w:color w:val="000000"/>
                <w:sz w:val="19"/>
              </w:rPr>
              <w:t>产品已上线并纳入台账</w:t>
            </w:r>
          </w:p>
        </w:tc>
        <w:tc>
          <w:tcPr>
            <w:tcW w:type="dxa" w:w="3700"/>
          </w:tcPr>
          <w:p>
            <w:pPr>
              <w:spacing w:after="0" w:line="276" w:lineRule="auto"/>
            </w:pPr>
            <w:r>
              <w:rPr>
                <w:rFonts w:ascii="Calibri" w:hAnsi="Calibri" w:eastAsia="STHeiti"/>
                <w:b w:val="0"/>
                <w:color w:val="000000"/>
                <w:sz w:val="19"/>
              </w:rPr>
              <w:t>销售、履约、投诉、退款和利润监控</w:t>
            </w:r>
          </w:p>
        </w:tc>
        <w:tc>
          <w:tcPr>
            <w:tcW w:type="dxa" w:w="2410"/>
          </w:tcPr>
          <w:p>
            <w:pPr>
              <w:spacing w:after="0" w:line="276" w:lineRule="auto"/>
            </w:pPr>
            <w:r>
              <w:rPr>
                <w:rFonts w:ascii="Calibri" w:hAnsi="Calibri" w:eastAsia="STHeiti"/>
                <w:b w:val="0"/>
                <w:color w:val="000000"/>
                <w:sz w:val="19"/>
              </w:rPr>
              <w:t>月度复盘及优化方案</w:t>
            </w:r>
          </w:p>
        </w:tc>
      </w:tr>
      <w:tr>
        <w:trPr>
          <w:cantSplit/>
        </w:trPr>
        <w:tc>
          <w:tcPr>
            <w:tcW w:type="dxa" w:w="1150"/>
          </w:tcPr>
          <w:p>
            <w:pPr>
              <w:spacing w:after="0" w:line="276" w:lineRule="auto"/>
            </w:pPr>
            <w:r>
              <w:rPr>
                <w:rFonts w:ascii="Calibri" w:hAnsi="Calibri" w:eastAsia="STHeiti"/>
                <w:b w:val="0"/>
                <w:color w:val="000000"/>
                <w:sz w:val="19"/>
              </w:rPr>
              <w:t>下线</w:t>
            </w:r>
          </w:p>
        </w:tc>
        <w:tc>
          <w:tcPr>
            <w:tcW w:type="dxa" w:w="2100"/>
          </w:tcPr>
          <w:p>
            <w:pPr>
              <w:spacing w:after="0" w:line="276" w:lineRule="auto"/>
            </w:pPr>
            <w:r>
              <w:rPr>
                <w:rFonts w:ascii="Calibri" w:hAnsi="Calibri" w:eastAsia="STHeiti"/>
                <w:b w:val="0"/>
                <w:color w:val="000000"/>
                <w:sz w:val="19"/>
              </w:rPr>
              <w:t>触发下线或退市条件</w:t>
            </w:r>
          </w:p>
        </w:tc>
        <w:tc>
          <w:tcPr>
            <w:tcW w:type="dxa" w:w="3700"/>
          </w:tcPr>
          <w:p>
            <w:pPr>
              <w:spacing w:after="0" w:line="276" w:lineRule="auto"/>
            </w:pPr>
            <w:r>
              <w:rPr>
                <w:rFonts w:ascii="Calibri" w:hAnsi="Calibri" w:eastAsia="STHeiti"/>
                <w:b w:val="0"/>
                <w:color w:val="000000"/>
                <w:sz w:val="19"/>
              </w:rPr>
              <w:t>存量订单、客户权益、渠道通知与系统处置</w:t>
            </w:r>
          </w:p>
        </w:tc>
        <w:tc>
          <w:tcPr>
            <w:tcW w:type="dxa" w:w="2410"/>
          </w:tcPr>
          <w:p>
            <w:pPr>
              <w:spacing w:after="0" w:line="276" w:lineRule="auto"/>
            </w:pPr>
            <w:r>
              <w:rPr>
                <w:rFonts w:ascii="Calibri" w:hAnsi="Calibri" w:eastAsia="STHeiti"/>
                <w:b w:val="0"/>
                <w:color w:val="000000"/>
                <w:sz w:val="19"/>
              </w:rPr>
              <w:t>下线评估及归档</w:t>
            </w:r>
          </w:p>
        </w:tc>
      </w:tr>
    </w:tbl>
    <w:p>
      <w:pPr>
        <w:spacing w:before="0" w:after="60" w:line="300" w:lineRule="auto"/>
      </w:pPr>
    </w:p>
    <w:p>
      <w:pPr>
        <w:pStyle w:val="Heading1"/>
        <w:keepNext/>
      </w:pPr>
      <w:r>
        <w:rPr>
          <w:rFonts w:ascii="Calibri" w:hAnsi="Calibri" w:eastAsia="STHeiti"/>
          <w:b/>
          <w:color w:val="2E74B5"/>
          <w:sz w:val="32"/>
        </w:rPr>
        <w:t>四、新产品立项管理</w:t>
      </w:r>
    </w:p>
    <w:p>
      <w:pPr>
        <w:pStyle w:val="Heading2"/>
        <w:keepNext/>
      </w:pPr>
      <w:r>
        <w:rPr>
          <w:rFonts w:ascii="Calibri" w:hAnsi="Calibri" w:eastAsia="STHeiti"/>
          <w:b/>
          <w:color w:val="2E74B5"/>
          <w:sz w:val="26"/>
        </w:rPr>
        <w:t>1. 需求收集与预评估</w:t>
      </w:r>
    </w:p>
    <w:p>
      <w:pPr>
        <w:spacing w:before="0" w:after="120" w:line="300" w:lineRule="auto"/>
      </w:pPr>
      <w:r>
        <w:rPr>
          <w:rFonts w:ascii="Calibri" w:hAnsi="Calibri" w:eastAsia="STHeiti"/>
          <w:b w:val="0"/>
          <w:color w:val="000000"/>
          <w:sz w:val="21"/>
        </w:rPr>
        <w:t>产品负责人可基于客户需求、航线机会、经营数据、渠道建议、供应商资源或创新机会提出新产品需求。需求提出后，应先完成预评估，确认与公司战略、航线资源、品牌定位及现有业务的适配性；明显不具备客户价值、合规基础或资源可得性的需求不得进入立项。</w:t>
      </w:r>
    </w:p>
    <w:p>
      <w:pPr>
        <w:pStyle w:val="Heading2"/>
        <w:keepNext/>
      </w:pPr>
      <w:r>
        <w:rPr>
          <w:rFonts w:ascii="Calibri" w:hAnsi="Calibri" w:eastAsia="STHeiti"/>
          <w:b/>
          <w:color w:val="2E74B5"/>
          <w:sz w:val="26"/>
        </w:rPr>
        <w:t>2. 市场调研与可行性分析</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600"/>
        <w:gridCol w:w="5350"/>
        <w:gridCol w:w="2410"/>
      </w:tblGrid>
      <w:tr>
        <w:trPr>
          <w:cantSplit/>
          <w:tblHeader w:val="true"/>
        </w:trPr>
        <w:tc>
          <w:tcPr>
            <w:tcW w:type="dxa" w:w="16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评估维度</w:t>
            </w:r>
          </w:p>
        </w:tc>
        <w:tc>
          <w:tcPr>
            <w:tcW w:type="dxa" w:w="53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最低分析要求</w:t>
            </w:r>
          </w:p>
        </w:tc>
        <w:tc>
          <w:tcPr>
            <w:tcW w:type="dxa" w:w="24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责任/会签</w:t>
            </w:r>
          </w:p>
        </w:tc>
      </w:tr>
      <w:tr>
        <w:trPr>
          <w:cantSplit/>
        </w:trPr>
        <w:tc>
          <w:tcPr>
            <w:tcW w:type="dxa" w:w="1600"/>
          </w:tcPr>
          <w:p>
            <w:pPr>
              <w:spacing w:after="0" w:line="276" w:lineRule="auto"/>
            </w:pPr>
            <w:r>
              <w:rPr>
                <w:rFonts w:ascii="Calibri" w:hAnsi="Calibri" w:eastAsia="STHeiti"/>
                <w:b w:val="0"/>
                <w:color w:val="000000"/>
                <w:sz w:val="19"/>
              </w:rPr>
              <w:t>市场与客户</w:t>
            </w:r>
          </w:p>
        </w:tc>
        <w:tc>
          <w:tcPr>
            <w:tcW w:type="dxa" w:w="5350"/>
          </w:tcPr>
          <w:p>
            <w:pPr>
              <w:spacing w:after="0" w:line="276" w:lineRule="auto"/>
            </w:pPr>
            <w:r>
              <w:rPr>
                <w:rFonts w:ascii="Calibri" w:hAnsi="Calibri" w:eastAsia="STHeiti"/>
                <w:b w:val="0"/>
                <w:color w:val="000000"/>
                <w:sz w:val="19"/>
              </w:rPr>
              <w:t>目标客群、出行场景、需求规模、竞品、渠道需求、客户支付意愿及差异化。</w:t>
            </w:r>
          </w:p>
        </w:tc>
        <w:tc>
          <w:tcPr>
            <w:tcW w:type="dxa" w:w="2410"/>
          </w:tcPr>
          <w:p>
            <w:pPr>
              <w:spacing w:after="0" w:line="276" w:lineRule="auto"/>
            </w:pPr>
            <w:r>
              <w:rPr>
                <w:rFonts w:ascii="Calibri" w:hAnsi="Calibri" w:eastAsia="STHeiti"/>
                <w:b w:val="0"/>
                <w:color w:val="000000"/>
                <w:sz w:val="19"/>
              </w:rPr>
              <w:t>产品负责人；销售/渠道会签</w:t>
            </w:r>
          </w:p>
        </w:tc>
      </w:tr>
      <w:tr>
        <w:trPr>
          <w:cantSplit/>
        </w:trPr>
        <w:tc>
          <w:tcPr>
            <w:tcW w:type="dxa" w:w="1600"/>
          </w:tcPr>
          <w:p>
            <w:pPr>
              <w:spacing w:after="0" w:line="276" w:lineRule="auto"/>
            </w:pPr>
            <w:r>
              <w:rPr>
                <w:rFonts w:ascii="Calibri" w:hAnsi="Calibri" w:eastAsia="STHeiti"/>
                <w:b w:val="0"/>
                <w:color w:val="000000"/>
                <w:sz w:val="19"/>
              </w:rPr>
              <w:t>产品与供应</w:t>
            </w:r>
          </w:p>
        </w:tc>
        <w:tc>
          <w:tcPr>
            <w:tcW w:type="dxa" w:w="5350"/>
          </w:tcPr>
          <w:p>
            <w:pPr>
              <w:spacing w:after="0" w:line="276" w:lineRule="auto"/>
            </w:pPr>
            <w:r>
              <w:rPr>
                <w:rFonts w:ascii="Calibri" w:hAnsi="Calibri" w:eastAsia="STHeiti"/>
                <w:b w:val="0"/>
                <w:color w:val="000000"/>
                <w:sz w:val="19"/>
              </w:rPr>
              <w:t>组合内容、服务标准、供应商资质及履约能力、库存/资源安排、客户责任边界。</w:t>
            </w:r>
          </w:p>
        </w:tc>
        <w:tc>
          <w:tcPr>
            <w:tcW w:type="dxa" w:w="2410"/>
          </w:tcPr>
          <w:p>
            <w:pPr>
              <w:spacing w:after="0" w:line="276" w:lineRule="auto"/>
            </w:pPr>
            <w:r>
              <w:rPr>
                <w:rFonts w:ascii="Calibri" w:hAnsi="Calibri" w:eastAsia="STHeiti"/>
                <w:b w:val="0"/>
                <w:color w:val="000000"/>
                <w:sz w:val="19"/>
              </w:rPr>
              <w:t>产品负责人；供应商管理/运行会签</w:t>
            </w:r>
          </w:p>
        </w:tc>
      </w:tr>
      <w:tr>
        <w:trPr>
          <w:cantSplit/>
        </w:trPr>
        <w:tc>
          <w:tcPr>
            <w:tcW w:type="dxa" w:w="1600"/>
          </w:tcPr>
          <w:p>
            <w:pPr>
              <w:spacing w:after="0" w:line="276" w:lineRule="auto"/>
            </w:pPr>
            <w:r>
              <w:rPr>
                <w:rFonts w:ascii="Calibri" w:hAnsi="Calibri" w:eastAsia="STHeiti"/>
                <w:b w:val="0"/>
                <w:color w:val="000000"/>
                <w:sz w:val="19"/>
              </w:rPr>
              <w:t>财务与定价</w:t>
            </w:r>
          </w:p>
        </w:tc>
        <w:tc>
          <w:tcPr>
            <w:tcW w:type="dxa" w:w="5350"/>
          </w:tcPr>
          <w:p>
            <w:pPr>
              <w:spacing w:after="0" w:line="276" w:lineRule="auto"/>
            </w:pPr>
            <w:r>
              <w:rPr>
                <w:rFonts w:ascii="Calibri" w:hAnsi="Calibri" w:eastAsia="STHeiti"/>
                <w:b w:val="0"/>
                <w:color w:val="000000"/>
                <w:sz w:val="19"/>
              </w:rPr>
              <w:t>销售预测、成本构成、价格区间、毛利/贡献利润、现金流、退款损失及敏感性分析。</w:t>
            </w:r>
          </w:p>
        </w:tc>
        <w:tc>
          <w:tcPr>
            <w:tcW w:type="dxa" w:w="2410"/>
          </w:tcPr>
          <w:p>
            <w:pPr>
              <w:spacing w:after="0" w:line="276" w:lineRule="auto"/>
            </w:pPr>
            <w:r>
              <w:rPr>
                <w:rFonts w:ascii="Calibri" w:hAnsi="Calibri" w:eastAsia="STHeiti"/>
                <w:b w:val="0"/>
                <w:color w:val="000000"/>
                <w:sz w:val="19"/>
              </w:rPr>
              <w:t>产品负责人；收益/财务会签</w:t>
            </w:r>
          </w:p>
        </w:tc>
      </w:tr>
      <w:tr>
        <w:trPr>
          <w:cantSplit/>
        </w:trPr>
        <w:tc>
          <w:tcPr>
            <w:tcW w:type="dxa" w:w="1600"/>
          </w:tcPr>
          <w:p>
            <w:pPr>
              <w:spacing w:after="0" w:line="276" w:lineRule="auto"/>
            </w:pPr>
            <w:r>
              <w:rPr>
                <w:rFonts w:ascii="Calibri" w:hAnsi="Calibri" w:eastAsia="STHeiti"/>
                <w:b w:val="0"/>
                <w:color w:val="000000"/>
                <w:sz w:val="19"/>
              </w:rPr>
              <w:t>合规与合同</w:t>
            </w:r>
          </w:p>
        </w:tc>
        <w:tc>
          <w:tcPr>
            <w:tcW w:type="dxa" w:w="5350"/>
          </w:tcPr>
          <w:p>
            <w:pPr>
              <w:spacing w:after="0" w:line="276" w:lineRule="auto"/>
            </w:pPr>
            <w:r>
              <w:rPr>
                <w:rFonts w:ascii="Calibri" w:hAnsi="Calibri" w:eastAsia="STHeiti"/>
                <w:b w:val="0"/>
                <w:color w:val="000000"/>
                <w:sz w:val="19"/>
              </w:rPr>
              <w:t>许可资质、消费者权益、宣传口径、合同责任、数据处理、保险/签证等特殊事项。</w:t>
            </w:r>
          </w:p>
        </w:tc>
        <w:tc>
          <w:tcPr>
            <w:tcW w:type="dxa" w:w="2410"/>
          </w:tcPr>
          <w:p>
            <w:pPr>
              <w:spacing w:after="0" w:line="276" w:lineRule="auto"/>
            </w:pPr>
            <w:r>
              <w:rPr>
                <w:rFonts w:ascii="Calibri" w:hAnsi="Calibri" w:eastAsia="STHeiti"/>
                <w:b w:val="0"/>
                <w:color w:val="000000"/>
                <w:sz w:val="19"/>
              </w:rPr>
              <w:t>法务合规会签</w:t>
            </w:r>
          </w:p>
        </w:tc>
      </w:tr>
      <w:tr>
        <w:trPr>
          <w:cantSplit/>
        </w:trPr>
        <w:tc>
          <w:tcPr>
            <w:tcW w:type="dxa" w:w="1600"/>
          </w:tcPr>
          <w:p>
            <w:pPr>
              <w:spacing w:after="0" w:line="276" w:lineRule="auto"/>
            </w:pPr>
            <w:r>
              <w:rPr>
                <w:rFonts w:ascii="Calibri" w:hAnsi="Calibri" w:eastAsia="STHeiti"/>
                <w:b w:val="0"/>
                <w:color w:val="000000"/>
                <w:sz w:val="19"/>
              </w:rPr>
              <w:t>系统与数据</w:t>
            </w:r>
          </w:p>
        </w:tc>
        <w:tc>
          <w:tcPr>
            <w:tcW w:type="dxa" w:w="5350"/>
          </w:tcPr>
          <w:p>
            <w:pPr>
              <w:spacing w:after="0" w:line="276" w:lineRule="auto"/>
            </w:pPr>
            <w:r>
              <w:rPr>
                <w:rFonts w:ascii="Calibri" w:hAnsi="Calibri" w:eastAsia="STHeiti"/>
                <w:b w:val="0"/>
                <w:color w:val="000000"/>
                <w:sz w:val="19"/>
              </w:rPr>
              <w:t>销售渠道、支付结算、订单/改退、接口、数据字段、权限、安全及测试工作量。</w:t>
            </w:r>
          </w:p>
        </w:tc>
        <w:tc>
          <w:tcPr>
            <w:tcW w:type="dxa" w:w="2410"/>
          </w:tcPr>
          <w:p>
            <w:pPr>
              <w:spacing w:after="0" w:line="276" w:lineRule="auto"/>
            </w:pPr>
            <w:r>
              <w:rPr>
                <w:rFonts w:ascii="Calibri" w:hAnsi="Calibri" w:eastAsia="STHeiti"/>
                <w:b w:val="0"/>
                <w:color w:val="000000"/>
                <w:sz w:val="19"/>
              </w:rPr>
              <w:t>信息技术会签</w:t>
            </w:r>
          </w:p>
        </w:tc>
      </w:tr>
      <w:tr>
        <w:trPr>
          <w:cantSplit/>
        </w:trPr>
        <w:tc>
          <w:tcPr>
            <w:tcW w:type="dxa" w:w="1600"/>
          </w:tcPr>
          <w:p>
            <w:pPr>
              <w:spacing w:after="0" w:line="276" w:lineRule="auto"/>
            </w:pPr>
            <w:r>
              <w:rPr>
                <w:rFonts w:ascii="Calibri" w:hAnsi="Calibri" w:eastAsia="STHeiti"/>
                <w:b w:val="0"/>
                <w:color w:val="000000"/>
                <w:sz w:val="19"/>
              </w:rPr>
              <w:t>风险与应急</w:t>
            </w:r>
          </w:p>
        </w:tc>
        <w:tc>
          <w:tcPr>
            <w:tcW w:type="dxa" w:w="5350"/>
          </w:tcPr>
          <w:p>
            <w:pPr>
              <w:spacing w:after="0" w:line="276" w:lineRule="auto"/>
            </w:pPr>
            <w:r>
              <w:rPr>
                <w:rFonts w:ascii="Calibri" w:hAnsi="Calibri" w:eastAsia="STHeiti"/>
                <w:b w:val="0"/>
                <w:color w:val="000000"/>
                <w:sz w:val="19"/>
              </w:rPr>
              <w:t>声誉、履约、供应、价格、系统、客户安全及重大舆情风险；止损和应急预案。</w:t>
            </w:r>
          </w:p>
        </w:tc>
        <w:tc>
          <w:tcPr>
            <w:tcW w:type="dxa" w:w="2410"/>
          </w:tcPr>
          <w:p>
            <w:pPr>
              <w:spacing w:after="0" w:line="276" w:lineRule="auto"/>
            </w:pPr>
            <w:r>
              <w:rPr>
                <w:rFonts w:ascii="Calibri" w:hAnsi="Calibri" w:eastAsia="STHeiti"/>
                <w:b w:val="0"/>
                <w:color w:val="000000"/>
                <w:sz w:val="19"/>
              </w:rPr>
              <w:t>产品负责人牵头；相关部门会签</w:t>
            </w:r>
          </w:p>
        </w:tc>
      </w:tr>
    </w:tbl>
    <w:p>
      <w:pPr>
        <w:spacing w:before="0" w:after="60" w:line="300" w:lineRule="auto"/>
      </w:pPr>
    </w:p>
    <w:p>
      <w:pPr>
        <w:pStyle w:val="Heading2"/>
        <w:keepNext/>
      </w:pPr>
      <w:r>
        <w:rPr>
          <w:rFonts w:ascii="Calibri" w:hAnsi="Calibri" w:eastAsia="STHeiti"/>
          <w:b/>
          <w:color w:val="2E74B5"/>
          <w:sz w:val="26"/>
        </w:rPr>
        <w:t>3. 立项申请与审批</w:t>
      </w:r>
    </w:p>
    <w:p>
      <w:pPr>
        <w:keepNext/>
        <w:spacing w:before="80" w:after="80" w:line="300" w:lineRule="auto"/>
      </w:pPr>
      <w:r>
        <w:rPr>
          <w:rFonts w:ascii="Calibri" w:hAnsi="Calibri" w:eastAsia="STHeiti"/>
          <w:b/>
          <w:color w:val="1F4D78"/>
          <w:sz w:val="21"/>
        </w:rPr>
        <w:t>常规产品立项审批流</w:t>
      </w:r>
    </w:p>
    <w:p>
      <w:pPr>
        <w:spacing w:after="140" w:line="264" w:lineRule="auto"/>
        <w:jc w:val="center"/>
      </w:pPr>
      <w:r>
        <w:rPr>
          <w:rFonts w:ascii="Calibri" w:hAnsi="Calibri" w:eastAsia="STHeiti"/>
          <w:b/>
          <w:color w:val="FFFFFF"/>
          <w:sz w:val="19"/>
          <w:shd w:fill="2E74B5"/>
        </w:rPr>
        <w:t>产品负责人发起</w:t>
      </w:r>
      <w:r>
        <w:rPr>
          <w:rFonts w:ascii="Calibri" w:hAnsi="Calibri" w:eastAsia="STHeiti"/>
          <w:b/>
          <w:color w:val="5B6573"/>
          <w:sz w:val="18"/>
        </w:rPr>
        <w:t xml:space="preserve">  →  </w:t>
      </w:r>
      <w:r>
        <w:rPr>
          <w:rFonts w:ascii="Calibri" w:hAnsi="Calibri" w:eastAsia="STHeiti"/>
          <w:b/>
          <w:color w:val="FFFFFF"/>
          <w:sz w:val="19"/>
          <w:shd w:fill="1F4D78"/>
        </w:rPr>
        <w:t>专业会签</w:t>
      </w:r>
      <w:r>
        <w:rPr>
          <w:rFonts w:ascii="Calibri" w:hAnsi="Calibri" w:eastAsia="STHeiti"/>
          <w:b/>
          <w:color w:val="5B6573"/>
          <w:sz w:val="18"/>
        </w:rPr>
        <w:t xml:space="preserve">  →  </w:t>
      </w:r>
      <w:r>
        <w:rPr>
          <w:rFonts w:ascii="Calibri" w:hAnsi="Calibri" w:eastAsia="STHeiti"/>
          <w:b/>
          <w:color w:val="FFFFFF"/>
          <w:sz w:val="19"/>
          <w:shd w:fill="2E74B5"/>
        </w:rPr>
        <w:t>中心总经理审核批准</w:t>
      </w:r>
      <w:r>
        <w:rPr>
          <w:rFonts w:ascii="Calibri" w:hAnsi="Calibri" w:eastAsia="STHeiti"/>
          <w:b/>
          <w:color w:val="5B6573"/>
          <w:sz w:val="18"/>
        </w:rPr>
        <w:t xml:space="preserve">  →  </w:t>
      </w:r>
      <w:r>
        <w:rPr>
          <w:rFonts w:ascii="Calibri" w:hAnsi="Calibri" w:eastAsia="STHeiti"/>
          <w:b/>
          <w:color w:val="FFFFFF"/>
          <w:sz w:val="19"/>
          <w:shd w:fill="1F4D78"/>
        </w:rPr>
        <w:t>产品编号/项目建档</w:t>
      </w:r>
      <w:r>
        <w:rPr>
          <w:rFonts w:ascii="Calibri" w:hAnsi="Calibri" w:eastAsia="STHeiti"/>
          <w:b/>
          <w:color w:val="5B6573"/>
          <w:sz w:val="18"/>
        </w:rPr>
        <w:t xml:space="preserve">  →  </w:t>
      </w:r>
      <w:r>
        <w:rPr>
          <w:rFonts w:ascii="Calibri" w:hAnsi="Calibri" w:eastAsia="STHeiti"/>
          <w:b/>
          <w:color w:val="FFFFFF"/>
          <w:sz w:val="19"/>
          <w:shd w:fill="2E74B5"/>
        </w:rPr>
        <w:t>进入设计上线</w:t>
      </w:r>
    </w:p>
    <w:p>
      <w:pPr>
        <w:spacing w:before="0" w:after="120" w:line="300" w:lineRule="auto"/>
      </w:pPr>
      <w:r>
        <w:rPr>
          <w:rFonts w:ascii="Calibri" w:hAnsi="Calibri" w:eastAsia="STHeiti"/>
          <w:b w:val="0"/>
          <w:color w:val="000000"/>
          <w:sz w:val="21"/>
        </w:rPr>
        <w:t>产品负责人应提交《新产品立项申请书》及《产品可行性分析报告》。会签部门应在职责范围内出具“同意、附条件同意或不同意”意见；附条件同意事项必须纳入上线检查清单。</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650"/>
        <w:gridCol w:w="4900"/>
        <w:gridCol w:w="2810"/>
      </w:tblGrid>
      <w:tr>
        <w:trPr>
          <w:cantSplit/>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事项</w:t>
            </w:r>
          </w:p>
        </w:tc>
        <w:tc>
          <w:tcPr>
            <w:tcW w:type="dxa" w:w="49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审批路径</w:t>
            </w:r>
          </w:p>
        </w:tc>
        <w:tc>
          <w:tcPr>
            <w:tcW w:type="dxa" w:w="28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控制要求</w:t>
            </w:r>
          </w:p>
        </w:tc>
      </w:tr>
      <w:tr>
        <w:trPr>
          <w:cantSplit/>
        </w:trPr>
        <w:tc>
          <w:tcPr>
            <w:tcW w:type="dxa" w:w="1650"/>
          </w:tcPr>
          <w:p>
            <w:pPr>
              <w:spacing w:after="0" w:line="276" w:lineRule="auto"/>
            </w:pPr>
            <w:r>
              <w:rPr>
                <w:rFonts w:ascii="Calibri" w:hAnsi="Calibri" w:eastAsia="STHeiti"/>
                <w:b w:val="0"/>
                <w:color w:val="000000"/>
                <w:sz w:val="19"/>
              </w:rPr>
              <w:t>常规产品立项</w:t>
            </w:r>
          </w:p>
        </w:tc>
        <w:tc>
          <w:tcPr>
            <w:tcW w:type="dxa" w:w="4900"/>
          </w:tcPr>
          <w:p>
            <w:pPr>
              <w:spacing w:after="0" w:line="276" w:lineRule="auto"/>
            </w:pPr>
            <w:r>
              <w:rPr>
                <w:rFonts w:ascii="Calibri" w:hAnsi="Calibri" w:eastAsia="STHeiti"/>
                <w:b w:val="0"/>
                <w:color w:val="000000"/>
                <w:sz w:val="19"/>
              </w:rPr>
              <w:t>产品负责人 → 销售/渠道、收益/财务、法务合规、信息技术及相关专业会签 → 中心总经理批准。</w:t>
            </w:r>
          </w:p>
        </w:tc>
        <w:tc>
          <w:tcPr>
            <w:tcW w:type="dxa" w:w="2810"/>
          </w:tcPr>
          <w:p>
            <w:pPr>
              <w:spacing w:after="0" w:line="276" w:lineRule="auto"/>
            </w:pPr>
            <w:r>
              <w:rPr>
                <w:rFonts w:ascii="Calibri" w:hAnsi="Calibri" w:eastAsia="STHeiti"/>
                <w:b w:val="0"/>
                <w:color w:val="000000"/>
                <w:sz w:val="19"/>
              </w:rPr>
              <w:t>未经批准不得对外承诺、发布、销售或配置系统。</w:t>
            </w:r>
          </w:p>
        </w:tc>
      </w:tr>
      <w:tr>
        <w:trPr>
          <w:cantSplit/>
        </w:trPr>
        <w:tc>
          <w:tcPr>
            <w:tcW w:type="dxa" w:w="1650"/>
          </w:tcPr>
          <w:p>
            <w:pPr>
              <w:spacing w:after="0" w:line="276" w:lineRule="auto"/>
            </w:pPr>
            <w:r>
              <w:rPr>
                <w:rFonts w:ascii="Calibri" w:hAnsi="Calibri" w:eastAsia="STHeiti"/>
                <w:b w:val="0"/>
                <w:color w:val="000000"/>
                <w:sz w:val="19"/>
              </w:rPr>
              <w:t>重大产品立项</w:t>
            </w:r>
          </w:p>
        </w:tc>
        <w:tc>
          <w:tcPr>
            <w:tcW w:type="dxa" w:w="4900"/>
          </w:tcPr>
          <w:p>
            <w:pPr>
              <w:spacing w:after="0" w:line="276" w:lineRule="auto"/>
            </w:pPr>
            <w:r>
              <w:rPr>
                <w:rFonts w:ascii="Calibri" w:hAnsi="Calibri" w:eastAsia="STHeiti"/>
                <w:b w:val="0"/>
                <w:color w:val="000000"/>
                <w:sz w:val="19"/>
              </w:rPr>
              <w:t>完成上述会签及中心总经理审核后 → 提报VPCM审阅。</w:t>
            </w:r>
          </w:p>
        </w:tc>
        <w:tc>
          <w:tcPr>
            <w:tcW w:type="dxa" w:w="2810"/>
          </w:tcPr>
          <w:p>
            <w:pPr>
              <w:spacing w:after="0" w:line="276" w:lineRule="auto"/>
            </w:pPr>
            <w:r>
              <w:rPr>
                <w:rFonts w:ascii="Calibri" w:hAnsi="Calibri" w:eastAsia="STHeiti"/>
                <w:b w:val="0"/>
                <w:color w:val="000000"/>
                <w:sz w:val="19"/>
              </w:rPr>
              <w:t>适用于重大投入、重大客户影响、重大合规风险或重大系统改造；应附专项风险和退出预案。</w:t>
            </w:r>
          </w:p>
        </w:tc>
      </w:tr>
      <w:tr>
        <w:trPr>
          <w:cantSplit/>
        </w:trPr>
        <w:tc>
          <w:tcPr>
            <w:tcW w:type="dxa" w:w="1650"/>
          </w:tcPr>
          <w:p>
            <w:pPr>
              <w:spacing w:after="0" w:line="276" w:lineRule="auto"/>
            </w:pPr>
            <w:r>
              <w:rPr>
                <w:rFonts w:ascii="Calibri" w:hAnsi="Calibri" w:eastAsia="STHeiti"/>
                <w:b w:val="0"/>
                <w:color w:val="000000"/>
                <w:sz w:val="19"/>
              </w:rPr>
              <w:t>立项不通过</w:t>
            </w:r>
          </w:p>
        </w:tc>
        <w:tc>
          <w:tcPr>
            <w:tcW w:type="dxa" w:w="4900"/>
          </w:tcPr>
          <w:p>
            <w:pPr>
              <w:spacing w:after="0" w:line="276" w:lineRule="auto"/>
            </w:pPr>
            <w:r>
              <w:rPr>
                <w:rFonts w:ascii="Calibri" w:hAnsi="Calibri" w:eastAsia="STHeiti"/>
                <w:b w:val="0"/>
                <w:color w:val="000000"/>
                <w:sz w:val="19"/>
              </w:rPr>
              <w:t>中心总经理退回或终止。</w:t>
            </w:r>
          </w:p>
        </w:tc>
        <w:tc>
          <w:tcPr>
            <w:tcW w:type="dxa" w:w="2810"/>
          </w:tcPr>
          <w:p>
            <w:pPr>
              <w:spacing w:after="0" w:line="276" w:lineRule="auto"/>
            </w:pPr>
            <w:r>
              <w:rPr>
                <w:rFonts w:ascii="Calibri" w:hAnsi="Calibri" w:eastAsia="STHeiti"/>
                <w:b w:val="0"/>
                <w:color w:val="000000"/>
                <w:sz w:val="19"/>
              </w:rPr>
              <w:t>产品负责人记录原因；确需重新申报时应补充或重做评估。</w:t>
            </w:r>
          </w:p>
        </w:tc>
      </w:tr>
    </w:tbl>
    <w:p>
      <w:pPr>
        <w:spacing w:before="0" w:after="60" w:line="300" w:lineRule="auto"/>
      </w:pPr>
    </w:p>
    <w:p>
      <w:pPr>
        <w:pStyle w:val="Heading1"/>
        <w:keepNext/>
      </w:pPr>
      <w:r>
        <w:rPr>
          <w:rFonts w:ascii="Calibri" w:hAnsi="Calibri" w:eastAsia="STHeiti"/>
          <w:b/>
          <w:color w:val="2E74B5"/>
          <w:sz w:val="32"/>
        </w:rPr>
        <w:t>五、产品设计、定价与上线管理</w:t>
      </w:r>
    </w:p>
    <w:p>
      <w:pPr>
        <w:pStyle w:val="Heading2"/>
        <w:keepNext/>
      </w:pPr>
      <w:r>
        <w:rPr>
          <w:rFonts w:ascii="Calibri" w:hAnsi="Calibri" w:eastAsia="STHeiti"/>
          <w:b/>
          <w:color w:val="2E74B5"/>
          <w:sz w:val="26"/>
        </w:rPr>
        <w:t>1. 产品设计</w:t>
      </w:r>
    </w:p>
    <w:p>
      <w:pPr>
        <w:spacing w:before="0" w:after="120" w:line="300" w:lineRule="auto"/>
      </w:pPr>
      <w:r>
        <w:rPr>
          <w:rFonts w:ascii="Calibri" w:hAnsi="Calibri" w:eastAsia="STHeiti"/>
          <w:b w:val="0"/>
          <w:color w:val="000000"/>
          <w:sz w:val="21"/>
        </w:rPr>
        <w:t>立项批准后，产品负责人应形成产品上线包，明确产品名称、目标客群、组合内容、行程/服务标准、可售日期、库存规则、适用条件、改退规则、客户告知、供应商责任、应急联络、销售渠道、宣传素材和售后流程。产品描述应真实、准确、可验证，不得夸大承诺或隐瞒限制条件。</w:t>
      </w:r>
    </w:p>
    <w:p>
      <w:pPr>
        <w:pStyle w:val="Heading2"/>
        <w:keepNext/>
      </w:pPr>
      <w:r>
        <w:rPr>
          <w:rFonts w:ascii="Calibri" w:hAnsi="Calibri" w:eastAsia="STHeiti"/>
          <w:b/>
          <w:color w:val="2E74B5"/>
          <w:sz w:val="26"/>
        </w:rPr>
        <w:t>2. 定价与收益规则</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rPr>
          <w:cantSplit/>
          <w:tblHeader w:val="true"/>
        </w:trPr>
        <w:tc>
          <w:tcPr>
            <w:tcW w:type="dxa" w:w="21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项目</w:t>
            </w:r>
          </w:p>
        </w:tc>
        <w:tc>
          <w:tcPr>
            <w:tcW w:type="dxa" w:w="72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要求</w:t>
            </w:r>
          </w:p>
        </w:tc>
      </w:tr>
      <w:tr>
        <w:trPr>
          <w:cantSplit/>
        </w:trPr>
        <w:tc>
          <w:tcPr>
            <w:tcW w:type="dxa" w:w="2100"/>
          </w:tcPr>
          <w:p>
            <w:pPr>
              <w:spacing w:after="0" w:line="276" w:lineRule="auto"/>
            </w:pPr>
            <w:r>
              <w:rPr>
                <w:rFonts w:ascii="Calibri" w:hAnsi="Calibri" w:eastAsia="STHeiti"/>
                <w:b w:val="0"/>
                <w:color w:val="000000"/>
                <w:sz w:val="19"/>
              </w:rPr>
              <w:t>定价依据</w:t>
            </w:r>
          </w:p>
        </w:tc>
        <w:tc>
          <w:tcPr>
            <w:tcW w:type="dxa" w:w="7260"/>
          </w:tcPr>
          <w:p>
            <w:pPr>
              <w:spacing w:after="0" w:line="276" w:lineRule="auto"/>
            </w:pPr>
            <w:r>
              <w:rPr>
                <w:rFonts w:ascii="Calibri" w:hAnsi="Calibri" w:eastAsia="STHeiti"/>
                <w:b w:val="0"/>
                <w:color w:val="000000"/>
                <w:sz w:val="19"/>
              </w:rPr>
              <w:t>以成本、市场价格、客户价值、渠道佣金、税费、退款损失、库存风险和目标贡献利润为基础，形成可追溯的测算。</w:t>
            </w:r>
          </w:p>
        </w:tc>
      </w:tr>
      <w:tr>
        <w:trPr>
          <w:cantSplit/>
        </w:trPr>
        <w:tc>
          <w:tcPr>
            <w:tcW w:type="dxa" w:w="2100"/>
          </w:tcPr>
          <w:p>
            <w:pPr>
              <w:spacing w:after="0" w:line="276" w:lineRule="auto"/>
            </w:pPr>
            <w:r>
              <w:rPr>
                <w:rFonts w:ascii="Calibri" w:hAnsi="Calibri" w:eastAsia="STHeiti"/>
                <w:b w:val="0"/>
                <w:color w:val="000000"/>
                <w:sz w:val="19"/>
              </w:rPr>
              <w:t>价格规则</w:t>
            </w:r>
          </w:p>
        </w:tc>
        <w:tc>
          <w:tcPr>
            <w:tcW w:type="dxa" w:w="7260"/>
          </w:tcPr>
          <w:p>
            <w:pPr>
              <w:spacing w:after="0" w:line="276" w:lineRule="auto"/>
            </w:pPr>
            <w:r>
              <w:rPr>
                <w:rFonts w:ascii="Calibri" w:hAnsi="Calibri" w:eastAsia="STHeiti"/>
                <w:b w:val="0"/>
                <w:color w:val="000000"/>
                <w:sz w:val="19"/>
              </w:rPr>
              <w:t>明确标准价、促销价、渠道价、有效期、库存/舱位约束、价格调整触发条件及授权人。</w:t>
            </w:r>
          </w:p>
        </w:tc>
      </w:tr>
      <w:tr>
        <w:trPr>
          <w:cantSplit/>
        </w:trPr>
        <w:tc>
          <w:tcPr>
            <w:tcW w:type="dxa" w:w="2100"/>
          </w:tcPr>
          <w:p>
            <w:pPr>
              <w:spacing w:after="0" w:line="276" w:lineRule="auto"/>
            </w:pPr>
            <w:r>
              <w:rPr>
                <w:rFonts w:ascii="Calibri" w:hAnsi="Calibri" w:eastAsia="STHeiti"/>
                <w:b w:val="0"/>
                <w:color w:val="000000"/>
                <w:sz w:val="19"/>
              </w:rPr>
              <w:t>例外价格</w:t>
            </w:r>
          </w:p>
        </w:tc>
        <w:tc>
          <w:tcPr>
            <w:tcW w:type="dxa" w:w="7260"/>
          </w:tcPr>
          <w:p>
            <w:pPr>
              <w:spacing w:after="0" w:line="276" w:lineRule="auto"/>
            </w:pPr>
            <w:r>
              <w:rPr>
                <w:rFonts w:ascii="Calibri" w:hAnsi="Calibri" w:eastAsia="STHeiti"/>
                <w:b w:val="0"/>
                <w:color w:val="000000"/>
                <w:sz w:val="19"/>
              </w:rPr>
              <w:t>超出已批准价格规则的价格、折扣或补偿，须按公司现行价格/授权制度审批，并在产品台账记录。</w:t>
            </w:r>
          </w:p>
        </w:tc>
      </w:tr>
      <w:tr>
        <w:trPr>
          <w:cantSplit/>
        </w:trPr>
        <w:tc>
          <w:tcPr>
            <w:tcW w:type="dxa" w:w="2100"/>
          </w:tcPr>
          <w:p>
            <w:pPr>
              <w:spacing w:after="0" w:line="276" w:lineRule="auto"/>
            </w:pPr>
            <w:r>
              <w:rPr>
                <w:rFonts w:ascii="Calibri" w:hAnsi="Calibri" w:eastAsia="STHeiti"/>
                <w:b w:val="0"/>
                <w:color w:val="000000"/>
                <w:sz w:val="19"/>
              </w:rPr>
              <w:t>客户展示</w:t>
            </w:r>
          </w:p>
        </w:tc>
        <w:tc>
          <w:tcPr>
            <w:tcW w:type="dxa" w:w="7260"/>
          </w:tcPr>
          <w:p>
            <w:pPr>
              <w:spacing w:after="0" w:line="276" w:lineRule="auto"/>
            </w:pPr>
            <w:r>
              <w:rPr>
                <w:rFonts w:ascii="Calibri" w:hAnsi="Calibri" w:eastAsia="STHeiti"/>
                <w:b w:val="0"/>
                <w:color w:val="000000"/>
                <w:sz w:val="19"/>
              </w:rPr>
              <w:t>前端展示应清楚列明产品组成、总价及必要费用、限制条件、改退政策和服务边界。</w:t>
            </w:r>
          </w:p>
        </w:tc>
      </w:tr>
    </w:tbl>
    <w:p>
      <w:pPr>
        <w:spacing w:before="0" w:after="60" w:line="300" w:lineRule="auto"/>
      </w:pPr>
    </w:p>
    <w:p>
      <w:pPr>
        <w:pStyle w:val="Heading2"/>
        <w:keepNext/>
      </w:pPr>
      <w:r>
        <w:rPr>
          <w:rFonts w:ascii="Calibri" w:hAnsi="Calibri" w:eastAsia="STHeiti"/>
          <w:b/>
          <w:color w:val="2E74B5"/>
          <w:sz w:val="26"/>
        </w:rPr>
        <w:t>3. 系统配置、测试与上线验收</w:t>
      </w:r>
    </w:p>
    <w:p>
      <w:pPr>
        <w:pStyle w:val="ListNumber"/>
        <w:spacing w:after="80" w:line="300" w:lineRule="auto"/>
        <w:ind w:left="540" w:hanging="271"/>
      </w:pPr>
      <w:r>
        <w:rPr>
          <w:rFonts w:ascii="Calibri" w:hAnsi="Calibri" w:eastAsia="STHeiti"/>
          <w:b w:val="0"/>
          <w:color w:val="000000"/>
          <w:sz w:val="21"/>
        </w:rPr>
        <w:t>信息技术依据已批准上线包完成产品、价格、库存、渠道、订单、支付/结算、通知、数据权限等配置，并保留变更记录。</w:t>
      </w:r>
    </w:p>
    <w:p>
      <w:pPr>
        <w:pStyle w:val="ListNumber"/>
        <w:spacing w:after="80" w:line="300" w:lineRule="auto"/>
        <w:ind w:left="540" w:hanging="271"/>
      </w:pPr>
      <w:r>
        <w:rPr>
          <w:rFonts w:ascii="Calibri" w:hAnsi="Calibri" w:eastAsia="STHeiti"/>
          <w:b w:val="0"/>
          <w:color w:val="000000"/>
          <w:sz w:val="21"/>
        </w:rPr>
        <w:t>产品负责人组织业务测试；至少覆盖查询、报价、下单、支付、改退、取消、库存、凭证、通知、客服查询、数据报表和异常场景。</w:t>
      </w:r>
    </w:p>
    <w:p>
      <w:pPr>
        <w:pStyle w:val="ListNumber"/>
        <w:spacing w:after="80" w:line="300" w:lineRule="auto"/>
        <w:ind w:left="540" w:hanging="271"/>
      </w:pPr>
      <w:r>
        <w:rPr>
          <w:rFonts w:ascii="Calibri" w:hAnsi="Calibri" w:eastAsia="STHeiti"/>
          <w:b w:val="0"/>
          <w:color w:val="000000"/>
          <w:sz w:val="21"/>
        </w:rPr>
        <w:t>产品负责人汇总《产品上线检查及验收单》，确认会签条件均已落实、宣传与培训材料齐备、客服及应急联系人明确。</w:t>
      </w:r>
    </w:p>
    <w:p>
      <w:pPr>
        <w:pStyle w:val="ListNumber"/>
        <w:spacing w:after="80" w:line="300" w:lineRule="auto"/>
        <w:ind w:left="540" w:hanging="271"/>
      </w:pPr>
      <w:r>
        <w:rPr>
          <w:rFonts w:ascii="Calibri" w:hAnsi="Calibri" w:eastAsia="STHeiti"/>
          <w:b w:val="0"/>
          <w:color w:val="000000"/>
          <w:sz w:val="21"/>
        </w:rPr>
        <w:t>完成收益/财务、法务合规、信息技术、客服/运行及渠道验收会签后，报中心总经理批准上线。</w:t>
      </w:r>
    </w:p>
    <w:p>
      <w:pPr>
        <w:pStyle w:val="ListNumber"/>
        <w:spacing w:after="80" w:line="300" w:lineRule="auto"/>
        <w:ind w:left="540" w:hanging="271"/>
      </w:pPr>
      <w:r>
        <w:rPr>
          <w:rFonts w:ascii="Calibri" w:hAnsi="Calibri" w:eastAsia="STHeiti"/>
          <w:b w:val="0"/>
          <w:color w:val="000000"/>
          <w:sz w:val="21"/>
        </w:rPr>
        <w:t>批准后方可正式发布；上线首周实行重点监控，发现严重风险时应立即暂停销售并启动异常处置。</w:t>
      </w:r>
    </w:p>
    <w:p>
      <w:pPr>
        <w:keepNext/>
        <w:spacing w:before="80" w:after="80" w:line="300" w:lineRule="auto"/>
      </w:pPr>
      <w:r>
        <w:rPr>
          <w:rFonts w:ascii="Calibri" w:hAnsi="Calibri" w:eastAsia="STHeiti"/>
          <w:b/>
          <w:color w:val="1F4D78"/>
          <w:sz w:val="21"/>
        </w:rPr>
        <w:t>产品上线审批流</w:t>
      </w:r>
    </w:p>
    <w:p>
      <w:pPr>
        <w:spacing w:after="140" w:line="264" w:lineRule="auto"/>
        <w:jc w:val="center"/>
      </w:pPr>
      <w:r>
        <w:rPr>
          <w:rFonts w:ascii="Calibri" w:hAnsi="Calibri" w:eastAsia="STHeiti"/>
          <w:b/>
          <w:color w:val="FFFFFF"/>
          <w:sz w:val="19"/>
          <w:shd w:fill="2E74B5"/>
        </w:rPr>
        <w:t>上线包提交</w:t>
      </w:r>
      <w:r>
        <w:rPr>
          <w:rFonts w:ascii="Calibri" w:hAnsi="Calibri" w:eastAsia="STHeiti"/>
          <w:b/>
          <w:color w:val="5B6573"/>
          <w:sz w:val="18"/>
        </w:rPr>
        <w:t xml:space="preserve">  →  </w:t>
      </w:r>
      <w:r>
        <w:rPr>
          <w:rFonts w:ascii="Calibri" w:hAnsi="Calibri" w:eastAsia="STHeiti"/>
          <w:b/>
          <w:color w:val="FFFFFF"/>
          <w:sz w:val="19"/>
          <w:shd w:fill="1F4D78"/>
        </w:rPr>
        <w:t>专业验收会签</w:t>
      </w:r>
      <w:r>
        <w:rPr>
          <w:rFonts w:ascii="Calibri" w:hAnsi="Calibri" w:eastAsia="STHeiti"/>
          <w:b/>
          <w:color w:val="5B6573"/>
          <w:sz w:val="18"/>
        </w:rPr>
        <w:t xml:space="preserve">  →  </w:t>
      </w:r>
      <w:r>
        <w:rPr>
          <w:rFonts w:ascii="Calibri" w:hAnsi="Calibri" w:eastAsia="STHeiti"/>
          <w:b/>
          <w:color w:val="FFFFFF"/>
          <w:sz w:val="19"/>
          <w:shd w:fill="2E74B5"/>
        </w:rPr>
        <w:t>中心总经理批准</w:t>
      </w:r>
      <w:r>
        <w:rPr>
          <w:rFonts w:ascii="Calibri" w:hAnsi="Calibri" w:eastAsia="STHeiti"/>
          <w:b/>
          <w:color w:val="5B6573"/>
          <w:sz w:val="18"/>
        </w:rPr>
        <w:t xml:space="preserve">  →  </w:t>
      </w:r>
      <w:r>
        <w:rPr>
          <w:rFonts w:ascii="Calibri" w:hAnsi="Calibri" w:eastAsia="STHeiti"/>
          <w:b/>
          <w:color w:val="FFFFFF"/>
          <w:sz w:val="19"/>
          <w:shd w:fill="1F4D78"/>
        </w:rPr>
        <w:t>发布/培训</w:t>
      </w:r>
      <w:r>
        <w:rPr>
          <w:rFonts w:ascii="Calibri" w:hAnsi="Calibri" w:eastAsia="STHeiti"/>
          <w:b/>
          <w:color w:val="5B6573"/>
          <w:sz w:val="18"/>
        </w:rPr>
        <w:t xml:space="preserve">  →  </w:t>
      </w:r>
      <w:r>
        <w:rPr>
          <w:rFonts w:ascii="Calibri" w:hAnsi="Calibri" w:eastAsia="STHeiti"/>
          <w:b/>
          <w:color w:val="FFFFFF"/>
          <w:sz w:val="19"/>
          <w:shd w:fill="2E74B5"/>
        </w:rPr>
        <w:t>首周重点监控</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350"/>
        <w:gridCol w:w="7010"/>
      </w:tblGrid>
      <w:tr>
        <w:trPr>
          <w:cantSplit/>
          <w:tblHeader w:val="true"/>
        </w:trPr>
        <w:tc>
          <w:tcPr>
            <w:tcW w:type="dxa" w:w="23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上线前检查项</w:t>
            </w:r>
          </w:p>
        </w:tc>
        <w:tc>
          <w:tcPr>
            <w:tcW w:type="dxa" w:w="70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最低验收标准</w:t>
            </w:r>
          </w:p>
        </w:tc>
      </w:tr>
      <w:tr>
        <w:trPr>
          <w:cantSplit/>
        </w:trPr>
        <w:tc>
          <w:tcPr>
            <w:tcW w:type="dxa" w:w="2350"/>
          </w:tcPr>
          <w:p>
            <w:pPr>
              <w:spacing w:after="0" w:line="276" w:lineRule="auto"/>
            </w:pPr>
            <w:r>
              <w:rPr>
                <w:rFonts w:ascii="Calibri" w:hAnsi="Calibri" w:eastAsia="STHeiti"/>
                <w:b w:val="0"/>
                <w:color w:val="000000"/>
                <w:sz w:val="19"/>
              </w:rPr>
              <w:t>合同及资源</w:t>
            </w:r>
          </w:p>
        </w:tc>
        <w:tc>
          <w:tcPr>
            <w:tcW w:type="dxa" w:w="7010"/>
          </w:tcPr>
          <w:p>
            <w:pPr>
              <w:spacing w:after="0" w:line="276" w:lineRule="auto"/>
            </w:pPr>
            <w:r>
              <w:rPr>
                <w:rFonts w:ascii="Calibri" w:hAnsi="Calibri" w:eastAsia="STHeiti"/>
                <w:b w:val="0"/>
                <w:color w:val="000000"/>
                <w:sz w:val="19"/>
              </w:rPr>
              <w:t>供应商合同/确认文件有效，资源、价格、结算及履约责任明确。</w:t>
            </w:r>
          </w:p>
        </w:tc>
      </w:tr>
      <w:tr>
        <w:trPr>
          <w:cantSplit/>
        </w:trPr>
        <w:tc>
          <w:tcPr>
            <w:tcW w:type="dxa" w:w="2350"/>
          </w:tcPr>
          <w:p>
            <w:pPr>
              <w:spacing w:after="0" w:line="276" w:lineRule="auto"/>
            </w:pPr>
            <w:r>
              <w:rPr>
                <w:rFonts w:ascii="Calibri" w:hAnsi="Calibri" w:eastAsia="STHeiti"/>
                <w:b w:val="0"/>
                <w:color w:val="000000"/>
                <w:sz w:val="19"/>
              </w:rPr>
              <w:t>客户权益</w:t>
            </w:r>
          </w:p>
        </w:tc>
        <w:tc>
          <w:tcPr>
            <w:tcW w:type="dxa" w:w="7010"/>
          </w:tcPr>
          <w:p>
            <w:pPr>
              <w:spacing w:after="0" w:line="276" w:lineRule="auto"/>
            </w:pPr>
            <w:r>
              <w:rPr>
                <w:rFonts w:ascii="Calibri" w:hAnsi="Calibri" w:eastAsia="STHeiti"/>
                <w:b w:val="0"/>
                <w:color w:val="000000"/>
                <w:sz w:val="19"/>
              </w:rPr>
              <w:t>产品展示、限制条件、改退、投诉与应急路径清晰，客服已掌握话术和处置规则。</w:t>
            </w:r>
          </w:p>
        </w:tc>
      </w:tr>
      <w:tr>
        <w:trPr>
          <w:cantSplit/>
        </w:trPr>
        <w:tc>
          <w:tcPr>
            <w:tcW w:type="dxa" w:w="2350"/>
          </w:tcPr>
          <w:p>
            <w:pPr>
              <w:spacing w:after="0" w:line="276" w:lineRule="auto"/>
            </w:pPr>
            <w:r>
              <w:rPr>
                <w:rFonts w:ascii="Calibri" w:hAnsi="Calibri" w:eastAsia="STHeiti"/>
                <w:b w:val="0"/>
                <w:color w:val="000000"/>
                <w:sz w:val="19"/>
              </w:rPr>
              <w:t>系统与数据</w:t>
            </w:r>
          </w:p>
        </w:tc>
        <w:tc>
          <w:tcPr>
            <w:tcW w:type="dxa" w:w="7010"/>
          </w:tcPr>
          <w:p>
            <w:pPr>
              <w:spacing w:after="0" w:line="276" w:lineRule="auto"/>
            </w:pPr>
            <w:r>
              <w:rPr>
                <w:rFonts w:ascii="Calibri" w:hAnsi="Calibri" w:eastAsia="STHeiti"/>
                <w:b w:val="0"/>
                <w:color w:val="000000"/>
                <w:sz w:val="19"/>
              </w:rPr>
              <w:t>关键链路测试通过；权限、接口、数据字段及异常处理符合要求。</w:t>
            </w:r>
          </w:p>
        </w:tc>
      </w:tr>
      <w:tr>
        <w:trPr>
          <w:cantSplit/>
        </w:trPr>
        <w:tc>
          <w:tcPr>
            <w:tcW w:type="dxa" w:w="2350"/>
          </w:tcPr>
          <w:p>
            <w:pPr>
              <w:spacing w:after="0" w:line="276" w:lineRule="auto"/>
            </w:pPr>
            <w:r>
              <w:rPr>
                <w:rFonts w:ascii="Calibri" w:hAnsi="Calibri" w:eastAsia="STHeiti"/>
                <w:b w:val="0"/>
                <w:color w:val="000000"/>
                <w:sz w:val="19"/>
              </w:rPr>
              <w:t>经营准备</w:t>
            </w:r>
          </w:p>
        </w:tc>
        <w:tc>
          <w:tcPr>
            <w:tcW w:type="dxa" w:w="7010"/>
          </w:tcPr>
          <w:p>
            <w:pPr>
              <w:spacing w:after="0" w:line="276" w:lineRule="auto"/>
            </w:pPr>
            <w:r>
              <w:rPr>
                <w:rFonts w:ascii="Calibri" w:hAnsi="Calibri" w:eastAsia="STHeiti"/>
                <w:b w:val="0"/>
                <w:color w:val="000000"/>
                <w:sz w:val="19"/>
              </w:rPr>
              <w:t>定价获批；渠道配置、库存、促销、物料、销售培训和监控报表已就绪。</w:t>
            </w:r>
          </w:p>
        </w:tc>
      </w:tr>
      <w:tr>
        <w:trPr>
          <w:cantSplit/>
        </w:trPr>
        <w:tc>
          <w:tcPr>
            <w:tcW w:type="dxa" w:w="2350"/>
          </w:tcPr>
          <w:p>
            <w:pPr>
              <w:spacing w:after="0" w:line="276" w:lineRule="auto"/>
            </w:pPr>
            <w:r>
              <w:rPr>
                <w:rFonts w:ascii="Calibri" w:hAnsi="Calibri" w:eastAsia="STHeiti"/>
                <w:b w:val="0"/>
                <w:color w:val="000000"/>
                <w:sz w:val="19"/>
              </w:rPr>
              <w:t>风险准备</w:t>
            </w:r>
          </w:p>
        </w:tc>
        <w:tc>
          <w:tcPr>
            <w:tcW w:type="dxa" w:w="7010"/>
          </w:tcPr>
          <w:p>
            <w:pPr>
              <w:spacing w:after="0" w:line="276" w:lineRule="auto"/>
            </w:pPr>
            <w:r>
              <w:rPr>
                <w:rFonts w:ascii="Calibri" w:hAnsi="Calibri" w:eastAsia="STHeiti"/>
                <w:b w:val="0"/>
                <w:color w:val="000000"/>
                <w:sz w:val="19"/>
              </w:rPr>
              <w:t>高风险事项已有控制措施；关键联系人及暂停销售机制可用。</w:t>
            </w:r>
          </w:p>
        </w:tc>
      </w:tr>
    </w:tbl>
    <w:p>
      <w:pPr>
        <w:spacing w:before="0" w:after="60" w:line="300" w:lineRule="auto"/>
      </w:pPr>
    </w:p>
    <w:p>
      <w:pPr>
        <w:pStyle w:val="Heading1"/>
        <w:keepNext/>
      </w:pPr>
      <w:r>
        <w:rPr>
          <w:rFonts w:ascii="Calibri" w:hAnsi="Calibri" w:eastAsia="STHeiti"/>
          <w:b/>
          <w:color w:val="2E74B5"/>
          <w:sz w:val="32"/>
        </w:rPr>
        <w:t>六、产品运营、优化及变更管理</w:t>
      </w:r>
    </w:p>
    <w:p>
      <w:pPr>
        <w:pStyle w:val="Heading2"/>
        <w:keepNext/>
      </w:pPr>
      <w:r>
        <w:rPr>
          <w:rFonts w:ascii="Calibri" w:hAnsi="Calibri" w:eastAsia="STHeiti"/>
          <w:b/>
          <w:color w:val="2E74B5"/>
          <w:sz w:val="26"/>
        </w:rPr>
        <w:t>1. 日常运营与监控</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550"/>
        <w:gridCol w:w="5000"/>
        <w:gridCol w:w="2810"/>
      </w:tblGrid>
      <w:tr>
        <w:trPr>
          <w:cantSplit/>
          <w:tblHeader w:val="true"/>
        </w:trPr>
        <w:tc>
          <w:tcPr>
            <w:tcW w:type="dxa" w:w="15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监控领域</w:t>
            </w:r>
          </w:p>
        </w:tc>
        <w:tc>
          <w:tcPr>
            <w:tcW w:type="dxa" w:w="50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监控内容</w:t>
            </w:r>
          </w:p>
        </w:tc>
        <w:tc>
          <w:tcPr>
            <w:tcW w:type="dxa" w:w="28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责任人/频率</w:t>
            </w:r>
          </w:p>
        </w:tc>
      </w:tr>
      <w:tr>
        <w:trPr>
          <w:cantSplit/>
        </w:trPr>
        <w:tc>
          <w:tcPr>
            <w:tcW w:type="dxa" w:w="1550"/>
          </w:tcPr>
          <w:p>
            <w:pPr>
              <w:spacing w:after="0" w:line="276" w:lineRule="auto"/>
            </w:pPr>
            <w:r>
              <w:rPr>
                <w:rFonts w:ascii="Calibri" w:hAnsi="Calibri" w:eastAsia="STHeiti"/>
                <w:b w:val="0"/>
                <w:color w:val="000000"/>
                <w:sz w:val="19"/>
              </w:rPr>
              <w:t>销售与收益</w:t>
            </w:r>
          </w:p>
        </w:tc>
        <w:tc>
          <w:tcPr>
            <w:tcW w:type="dxa" w:w="5000"/>
          </w:tcPr>
          <w:p>
            <w:pPr>
              <w:spacing w:after="0" w:line="276" w:lineRule="auto"/>
            </w:pPr>
            <w:r>
              <w:rPr>
                <w:rFonts w:ascii="Calibri" w:hAnsi="Calibri" w:eastAsia="STHeiti"/>
                <w:b w:val="0"/>
                <w:color w:val="000000"/>
                <w:sz w:val="19"/>
              </w:rPr>
              <w:t>销量、收入、客单价、转化率、毛利/贡献利润、渠道表现、促销效果。</w:t>
            </w:r>
          </w:p>
        </w:tc>
        <w:tc>
          <w:tcPr>
            <w:tcW w:type="dxa" w:w="2810"/>
          </w:tcPr>
          <w:p>
            <w:pPr>
              <w:spacing w:after="0" w:line="276" w:lineRule="auto"/>
            </w:pPr>
            <w:r>
              <w:rPr>
                <w:rFonts w:ascii="Calibri" w:hAnsi="Calibri" w:eastAsia="STHeiti"/>
                <w:b w:val="0"/>
                <w:color w:val="000000"/>
                <w:sz w:val="19"/>
              </w:rPr>
              <w:t>产品负责人；至少周度跟踪、月度复盘</w:t>
            </w:r>
          </w:p>
        </w:tc>
      </w:tr>
      <w:tr>
        <w:trPr>
          <w:cantSplit/>
        </w:trPr>
        <w:tc>
          <w:tcPr>
            <w:tcW w:type="dxa" w:w="1550"/>
          </w:tcPr>
          <w:p>
            <w:pPr>
              <w:spacing w:after="0" w:line="276" w:lineRule="auto"/>
            </w:pPr>
            <w:r>
              <w:rPr>
                <w:rFonts w:ascii="Calibri" w:hAnsi="Calibri" w:eastAsia="STHeiti"/>
                <w:b w:val="0"/>
                <w:color w:val="000000"/>
                <w:sz w:val="19"/>
              </w:rPr>
              <w:t>供应与履约</w:t>
            </w:r>
          </w:p>
        </w:tc>
        <w:tc>
          <w:tcPr>
            <w:tcW w:type="dxa" w:w="5000"/>
          </w:tcPr>
          <w:p>
            <w:pPr>
              <w:spacing w:after="0" w:line="276" w:lineRule="auto"/>
            </w:pPr>
            <w:r>
              <w:rPr>
                <w:rFonts w:ascii="Calibri" w:hAnsi="Calibri" w:eastAsia="STHeiti"/>
                <w:b w:val="0"/>
                <w:color w:val="000000"/>
                <w:sz w:val="19"/>
              </w:rPr>
              <w:t>库存、确认率、服务完成率、供应商响应、交付异常、退款及赔付。</w:t>
            </w:r>
          </w:p>
        </w:tc>
        <w:tc>
          <w:tcPr>
            <w:tcW w:type="dxa" w:w="2810"/>
          </w:tcPr>
          <w:p>
            <w:pPr>
              <w:spacing w:after="0" w:line="276" w:lineRule="auto"/>
            </w:pPr>
            <w:r>
              <w:rPr>
                <w:rFonts w:ascii="Calibri" w:hAnsi="Calibri" w:eastAsia="STHeiti"/>
                <w:b w:val="0"/>
                <w:color w:val="000000"/>
                <w:sz w:val="19"/>
              </w:rPr>
              <w:t>产品负责人/供应商管理；持续监控</w:t>
            </w:r>
          </w:p>
        </w:tc>
      </w:tr>
      <w:tr>
        <w:trPr>
          <w:cantSplit/>
        </w:trPr>
        <w:tc>
          <w:tcPr>
            <w:tcW w:type="dxa" w:w="1550"/>
          </w:tcPr>
          <w:p>
            <w:pPr>
              <w:spacing w:after="0" w:line="276" w:lineRule="auto"/>
            </w:pPr>
            <w:r>
              <w:rPr>
                <w:rFonts w:ascii="Calibri" w:hAnsi="Calibri" w:eastAsia="STHeiti"/>
                <w:b w:val="0"/>
                <w:color w:val="000000"/>
                <w:sz w:val="19"/>
              </w:rPr>
              <w:t>客户体验</w:t>
            </w:r>
          </w:p>
        </w:tc>
        <w:tc>
          <w:tcPr>
            <w:tcW w:type="dxa" w:w="5000"/>
          </w:tcPr>
          <w:p>
            <w:pPr>
              <w:spacing w:after="0" w:line="276" w:lineRule="auto"/>
            </w:pPr>
            <w:r>
              <w:rPr>
                <w:rFonts w:ascii="Calibri" w:hAnsi="Calibri" w:eastAsia="STHeiti"/>
                <w:b w:val="0"/>
                <w:color w:val="000000"/>
                <w:sz w:val="19"/>
              </w:rPr>
              <w:t>咨询、投诉、满意度、NPS/评价、重点负面反馈及闭环时效。</w:t>
            </w:r>
          </w:p>
        </w:tc>
        <w:tc>
          <w:tcPr>
            <w:tcW w:type="dxa" w:w="2810"/>
          </w:tcPr>
          <w:p>
            <w:pPr>
              <w:spacing w:after="0" w:line="276" w:lineRule="auto"/>
            </w:pPr>
            <w:r>
              <w:rPr>
                <w:rFonts w:ascii="Calibri" w:hAnsi="Calibri" w:eastAsia="STHeiti"/>
                <w:b w:val="0"/>
                <w:color w:val="000000"/>
                <w:sz w:val="19"/>
              </w:rPr>
              <w:t>客服/产品负责人；月度分析</w:t>
            </w:r>
          </w:p>
        </w:tc>
      </w:tr>
      <w:tr>
        <w:trPr>
          <w:cantSplit/>
        </w:trPr>
        <w:tc>
          <w:tcPr>
            <w:tcW w:type="dxa" w:w="1550"/>
          </w:tcPr>
          <w:p>
            <w:pPr>
              <w:spacing w:after="0" w:line="276" w:lineRule="auto"/>
            </w:pPr>
            <w:r>
              <w:rPr>
                <w:rFonts w:ascii="Calibri" w:hAnsi="Calibri" w:eastAsia="STHeiti"/>
                <w:b w:val="0"/>
                <w:color w:val="000000"/>
                <w:sz w:val="19"/>
              </w:rPr>
              <w:t>风险与合规</w:t>
            </w:r>
          </w:p>
        </w:tc>
        <w:tc>
          <w:tcPr>
            <w:tcW w:type="dxa" w:w="5000"/>
          </w:tcPr>
          <w:p>
            <w:pPr>
              <w:spacing w:after="0" w:line="276" w:lineRule="auto"/>
            </w:pPr>
            <w:r>
              <w:rPr>
                <w:rFonts w:ascii="Calibri" w:hAnsi="Calibri" w:eastAsia="STHeiti"/>
                <w:b w:val="0"/>
                <w:color w:val="000000"/>
                <w:sz w:val="19"/>
              </w:rPr>
              <w:t>宣传偏差、价格异常、数据问题、重大舆情、投诉升级及监管风险。</w:t>
            </w:r>
          </w:p>
        </w:tc>
        <w:tc>
          <w:tcPr>
            <w:tcW w:type="dxa" w:w="2810"/>
          </w:tcPr>
          <w:p>
            <w:pPr>
              <w:spacing w:after="0" w:line="276" w:lineRule="auto"/>
            </w:pPr>
            <w:r>
              <w:rPr>
                <w:rFonts w:ascii="Calibri" w:hAnsi="Calibri" w:eastAsia="STHeiti"/>
                <w:b w:val="0"/>
                <w:color w:val="000000"/>
                <w:sz w:val="19"/>
              </w:rPr>
              <w:t>相关专业部门；事件触发即处置</w:t>
            </w:r>
          </w:p>
        </w:tc>
      </w:tr>
    </w:tbl>
    <w:p>
      <w:pPr>
        <w:spacing w:before="0" w:after="60" w:line="300" w:lineRule="auto"/>
      </w:pPr>
    </w:p>
    <w:p>
      <w:pPr>
        <w:pStyle w:val="Heading2"/>
        <w:keepNext/>
      </w:pPr>
      <w:r>
        <w:rPr>
          <w:rFonts w:ascii="Calibri" w:hAnsi="Calibri" w:eastAsia="STHeiti"/>
          <w:b/>
          <w:color w:val="2E74B5"/>
          <w:sz w:val="26"/>
        </w:rPr>
        <w:t>2. 客户反馈与异常处置</w:t>
      </w:r>
    </w:p>
    <w:p>
      <w:pPr>
        <w:spacing w:before="0" w:after="120" w:line="300" w:lineRule="auto"/>
      </w:pPr>
      <w:r>
        <w:rPr>
          <w:rFonts w:ascii="Calibri" w:hAnsi="Calibri" w:eastAsia="STHeiti"/>
          <w:b w:val="0"/>
          <w:color w:val="000000"/>
          <w:sz w:val="21"/>
        </w:rPr>
        <w:t>客服/产品负责人应将客户反馈、投诉、退款和履约异常按产品编号归集。涉及客户人身安全、重大权益损害、群体性投诉、重大舆情、数据安全或可能违反法律法规的事件，应立即按公司既有应急与报告机制处理，并同步通知中心总经理。产品负责人应在事件结束后形成原因分析、客户补救、供应商整改和产品优化建议。</w:t>
      </w:r>
    </w:p>
    <w:p>
      <w:pPr>
        <w:pStyle w:val="Heading2"/>
        <w:keepNext/>
      </w:pPr>
      <w:r>
        <w:rPr>
          <w:rFonts w:ascii="Calibri" w:hAnsi="Calibri" w:eastAsia="STHeiti"/>
          <w:b/>
          <w:color w:val="2E74B5"/>
          <w:sz w:val="26"/>
        </w:rPr>
        <w:t>3. 产品优化与变更</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500"/>
        <w:gridCol w:w="3750"/>
        <w:gridCol w:w="4110"/>
      </w:tblGrid>
      <w:tr>
        <w:trPr>
          <w:cantSplit/>
          <w:tblHeader w:val="true"/>
        </w:trPr>
        <w:tc>
          <w:tcPr>
            <w:tcW w:type="dxa" w:w="15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变更类型</w:t>
            </w:r>
          </w:p>
        </w:tc>
        <w:tc>
          <w:tcPr>
            <w:tcW w:type="dxa" w:w="37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示例</w:t>
            </w:r>
          </w:p>
        </w:tc>
        <w:tc>
          <w:tcPr>
            <w:tcW w:type="dxa" w:w="41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审批及控制</w:t>
            </w:r>
          </w:p>
        </w:tc>
      </w:tr>
      <w:tr>
        <w:trPr>
          <w:cantSplit/>
        </w:trPr>
        <w:tc>
          <w:tcPr>
            <w:tcW w:type="dxa" w:w="1500"/>
          </w:tcPr>
          <w:p>
            <w:pPr>
              <w:spacing w:after="0" w:line="276" w:lineRule="auto"/>
            </w:pPr>
            <w:r>
              <w:rPr>
                <w:rFonts w:ascii="Calibri" w:hAnsi="Calibri" w:eastAsia="STHeiti"/>
                <w:b w:val="0"/>
                <w:color w:val="000000"/>
                <w:sz w:val="19"/>
              </w:rPr>
              <w:t>一般变更</w:t>
            </w:r>
          </w:p>
        </w:tc>
        <w:tc>
          <w:tcPr>
            <w:tcW w:type="dxa" w:w="3750"/>
          </w:tcPr>
          <w:p>
            <w:pPr>
              <w:spacing w:after="0" w:line="276" w:lineRule="auto"/>
            </w:pPr>
            <w:r>
              <w:rPr>
                <w:rFonts w:ascii="Calibri" w:hAnsi="Calibri" w:eastAsia="STHeiti"/>
                <w:b w:val="0"/>
                <w:color w:val="000000"/>
                <w:sz w:val="19"/>
              </w:rPr>
              <w:t>文案优化、非实质性展示调整、已批准规则内的库存调整。</w:t>
            </w:r>
          </w:p>
        </w:tc>
        <w:tc>
          <w:tcPr>
            <w:tcW w:type="dxa" w:w="4110"/>
          </w:tcPr>
          <w:p>
            <w:pPr>
              <w:spacing w:after="0" w:line="276" w:lineRule="auto"/>
            </w:pPr>
            <w:r>
              <w:rPr>
                <w:rFonts w:ascii="Calibri" w:hAnsi="Calibri" w:eastAsia="STHeiti"/>
                <w:b w:val="0"/>
                <w:color w:val="000000"/>
                <w:sz w:val="19"/>
              </w:rPr>
              <w:t>产品负责人记录并按职责完成必要校核；不得影响客户核心权益。</w:t>
            </w:r>
          </w:p>
        </w:tc>
      </w:tr>
      <w:tr>
        <w:trPr>
          <w:cantSplit/>
        </w:trPr>
        <w:tc>
          <w:tcPr>
            <w:tcW w:type="dxa" w:w="1500"/>
          </w:tcPr>
          <w:p>
            <w:pPr>
              <w:spacing w:after="0" w:line="276" w:lineRule="auto"/>
            </w:pPr>
            <w:r>
              <w:rPr>
                <w:rFonts w:ascii="Calibri" w:hAnsi="Calibri" w:eastAsia="STHeiti"/>
                <w:b w:val="0"/>
                <w:color w:val="000000"/>
                <w:sz w:val="19"/>
              </w:rPr>
              <w:t>重要变更</w:t>
            </w:r>
          </w:p>
        </w:tc>
        <w:tc>
          <w:tcPr>
            <w:tcW w:type="dxa" w:w="3750"/>
          </w:tcPr>
          <w:p>
            <w:pPr>
              <w:spacing w:after="0" w:line="276" w:lineRule="auto"/>
            </w:pPr>
            <w:r>
              <w:rPr>
                <w:rFonts w:ascii="Calibri" w:hAnsi="Calibri" w:eastAsia="STHeiti"/>
                <w:b w:val="0"/>
                <w:color w:val="000000"/>
                <w:sz w:val="19"/>
              </w:rPr>
              <w:t>价格规则、组合内容、供应商、服务标准、改退规则、渠道配置或系统逻辑变化。</w:t>
            </w:r>
          </w:p>
        </w:tc>
        <w:tc>
          <w:tcPr>
            <w:tcW w:type="dxa" w:w="4110"/>
          </w:tcPr>
          <w:p>
            <w:pPr>
              <w:spacing w:after="0" w:line="276" w:lineRule="auto"/>
            </w:pPr>
            <w:r>
              <w:rPr>
                <w:rFonts w:ascii="Calibri" w:hAnsi="Calibri" w:eastAsia="STHeiti"/>
                <w:b w:val="0"/>
                <w:color w:val="000000"/>
                <w:sz w:val="19"/>
              </w:rPr>
              <w:t>发起《产品变更/下线申请及评估单》；完成影响评估、专业会签、测试和中心总经理批准后实施。</w:t>
            </w:r>
          </w:p>
        </w:tc>
      </w:tr>
      <w:tr>
        <w:trPr>
          <w:cantSplit/>
        </w:trPr>
        <w:tc>
          <w:tcPr>
            <w:tcW w:type="dxa" w:w="1500"/>
          </w:tcPr>
          <w:p>
            <w:pPr>
              <w:spacing w:after="0" w:line="276" w:lineRule="auto"/>
            </w:pPr>
            <w:r>
              <w:rPr>
                <w:rFonts w:ascii="Calibri" w:hAnsi="Calibri" w:eastAsia="STHeiti"/>
                <w:b w:val="0"/>
                <w:color w:val="000000"/>
                <w:sz w:val="19"/>
              </w:rPr>
              <w:t>重大变更</w:t>
            </w:r>
          </w:p>
        </w:tc>
        <w:tc>
          <w:tcPr>
            <w:tcW w:type="dxa" w:w="3750"/>
          </w:tcPr>
          <w:p>
            <w:pPr>
              <w:spacing w:after="0" w:line="276" w:lineRule="auto"/>
            </w:pPr>
            <w:r>
              <w:rPr>
                <w:rFonts w:ascii="Calibri" w:hAnsi="Calibri" w:eastAsia="STHeiti"/>
                <w:b w:val="0"/>
                <w:color w:val="000000"/>
                <w:sz w:val="19"/>
              </w:rPr>
              <w:t>显著增加投入/客户影响/合规敏感度/系统改造，或可能改变商业模式。</w:t>
            </w:r>
          </w:p>
        </w:tc>
        <w:tc>
          <w:tcPr>
            <w:tcW w:type="dxa" w:w="4110"/>
          </w:tcPr>
          <w:p>
            <w:pPr>
              <w:spacing w:after="0" w:line="276" w:lineRule="auto"/>
            </w:pPr>
            <w:r>
              <w:rPr>
                <w:rFonts w:ascii="Calibri" w:hAnsi="Calibri" w:eastAsia="STHeiti"/>
                <w:b w:val="0"/>
                <w:color w:val="000000"/>
                <w:sz w:val="19"/>
              </w:rPr>
              <w:t>按创新或重大事项路径管理；中心总经理审核后提报VPCM审阅。</w:t>
            </w:r>
          </w:p>
        </w:tc>
      </w:tr>
    </w:tbl>
    <w:p>
      <w:pPr>
        <w:spacing w:before="0" w:after="60" w:line="300" w:lineRule="auto"/>
      </w:pPr>
    </w:p>
    <w:p>
      <w:pPr>
        <w:keepNext/>
        <w:spacing w:before="80" w:after="80" w:line="300" w:lineRule="auto"/>
      </w:pPr>
      <w:r>
        <w:rPr>
          <w:rFonts w:ascii="Calibri" w:hAnsi="Calibri" w:eastAsia="STHeiti"/>
          <w:b/>
          <w:color w:val="1F4D78"/>
          <w:sz w:val="21"/>
        </w:rPr>
        <w:t>重要变更工作流</w:t>
      </w:r>
    </w:p>
    <w:p>
      <w:pPr>
        <w:spacing w:after="140" w:line="264" w:lineRule="auto"/>
        <w:jc w:val="center"/>
      </w:pPr>
      <w:r>
        <w:rPr>
          <w:rFonts w:ascii="Calibri" w:hAnsi="Calibri" w:eastAsia="STHeiti"/>
          <w:b/>
          <w:color w:val="FFFFFF"/>
          <w:sz w:val="19"/>
          <w:shd w:fill="2E74B5"/>
        </w:rPr>
        <w:t>变更申请</w:t>
      </w:r>
      <w:r>
        <w:rPr>
          <w:rFonts w:ascii="Calibri" w:hAnsi="Calibri" w:eastAsia="STHeiti"/>
          <w:b/>
          <w:color w:val="5B6573"/>
          <w:sz w:val="18"/>
        </w:rPr>
        <w:t xml:space="preserve">  →  </w:t>
      </w:r>
      <w:r>
        <w:rPr>
          <w:rFonts w:ascii="Calibri" w:hAnsi="Calibri" w:eastAsia="STHeiti"/>
          <w:b/>
          <w:color w:val="FFFFFF"/>
          <w:sz w:val="19"/>
          <w:shd w:fill="1F4D78"/>
        </w:rPr>
        <w:t>影响评估</w:t>
      </w:r>
      <w:r>
        <w:rPr>
          <w:rFonts w:ascii="Calibri" w:hAnsi="Calibri" w:eastAsia="STHeiti"/>
          <w:b/>
          <w:color w:val="5B6573"/>
          <w:sz w:val="18"/>
        </w:rPr>
        <w:t xml:space="preserve">  →  </w:t>
      </w:r>
      <w:r>
        <w:rPr>
          <w:rFonts w:ascii="Calibri" w:hAnsi="Calibri" w:eastAsia="STHeiti"/>
          <w:b/>
          <w:color w:val="FFFFFF"/>
          <w:sz w:val="19"/>
          <w:shd w:fill="2E74B5"/>
        </w:rPr>
        <w:t>专业会签</w:t>
      </w:r>
      <w:r>
        <w:rPr>
          <w:rFonts w:ascii="Calibri" w:hAnsi="Calibri" w:eastAsia="STHeiti"/>
          <w:b/>
          <w:color w:val="5B6573"/>
          <w:sz w:val="18"/>
        </w:rPr>
        <w:t xml:space="preserve">  →  </w:t>
      </w:r>
      <w:r>
        <w:rPr>
          <w:rFonts w:ascii="Calibri" w:hAnsi="Calibri" w:eastAsia="STHeiti"/>
          <w:b/>
          <w:color w:val="FFFFFF"/>
          <w:sz w:val="19"/>
          <w:shd w:fill="1F4D78"/>
        </w:rPr>
        <w:t>系统测试</w:t>
      </w:r>
      <w:r>
        <w:rPr>
          <w:rFonts w:ascii="Calibri" w:hAnsi="Calibri" w:eastAsia="STHeiti"/>
          <w:b/>
          <w:color w:val="5B6573"/>
          <w:sz w:val="18"/>
        </w:rPr>
        <w:t xml:space="preserve">  →  </w:t>
      </w:r>
      <w:r>
        <w:rPr>
          <w:rFonts w:ascii="Calibri" w:hAnsi="Calibri" w:eastAsia="STHeiti"/>
          <w:b/>
          <w:color w:val="FFFFFF"/>
          <w:sz w:val="19"/>
          <w:shd w:fill="2E74B5"/>
        </w:rPr>
        <w:t>中心总经理批准</w:t>
      </w:r>
      <w:r>
        <w:rPr>
          <w:rFonts w:ascii="Calibri" w:hAnsi="Calibri" w:eastAsia="STHeiti"/>
          <w:b/>
          <w:color w:val="5B6573"/>
          <w:sz w:val="18"/>
        </w:rPr>
        <w:t xml:space="preserve">  →  </w:t>
      </w:r>
      <w:r>
        <w:rPr>
          <w:rFonts w:ascii="Calibri" w:hAnsi="Calibri" w:eastAsia="STHeiti"/>
          <w:b/>
          <w:color w:val="FFFFFF"/>
          <w:sz w:val="19"/>
          <w:shd w:fill="1F4D78"/>
        </w:rPr>
        <w:t>发布留痕</w:t>
      </w:r>
    </w:p>
    <w:p>
      <w:pPr>
        <w:pStyle w:val="Heading1"/>
        <w:keepNext/>
      </w:pPr>
      <w:r>
        <w:rPr>
          <w:rFonts w:ascii="Calibri" w:hAnsi="Calibri" w:eastAsia="STHeiti"/>
          <w:b/>
          <w:color w:val="2E74B5"/>
          <w:sz w:val="32"/>
        </w:rPr>
        <w:t>七、产品下线及退市管理</w:t>
      </w:r>
    </w:p>
    <w:p>
      <w:pPr>
        <w:pStyle w:val="Heading2"/>
        <w:keepNext/>
      </w:pPr>
      <w:r>
        <w:rPr>
          <w:rFonts w:ascii="Calibri" w:hAnsi="Calibri" w:eastAsia="STHeiti"/>
          <w:b/>
          <w:color w:val="2E74B5"/>
          <w:sz w:val="26"/>
        </w:rPr>
        <w:t>1. 下线触发条件</w:t>
      </w:r>
    </w:p>
    <w:p>
      <w:pPr>
        <w:pStyle w:val="ListBullet"/>
        <w:spacing w:after="80" w:line="300" w:lineRule="auto"/>
        <w:ind w:left="540" w:hanging="271"/>
      </w:pPr>
      <w:r>
        <w:rPr>
          <w:rFonts w:ascii="Calibri" w:hAnsi="Calibri" w:eastAsia="STHeiti"/>
          <w:b w:val="0"/>
          <w:color w:val="000000"/>
          <w:sz w:val="21"/>
        </w:rPr>
        <w:t>连续未达到经营目标且无明确改善路径；</w:t>
      </w:r>
    </w:p>
    <w:p>
      <w:pPr>
        <w:pStyle w:val="ListBullet"/>
        <w:spacing w:after="80" w:line="300" w:lineRule="auto"/>
        <w:ind w:left="540" w:hanging="271"/>
      </w:pPr>
      <w:r>
        <w:rPr>
          <w:rFonts w:ascii="Calibri" w:hAnsi="Calibri" w:eastAsia="STHeiti"/>
          <w:b w:val="0"/>
          <w:color w:val="000000"/>
          <w:sz w:val="21"/>
        </w:rPr>
        <w:t>供应商无法持续履约、资质失效或出现重大服务质量问题；</w:t>
      </w:r>
    </w:p>
    <w:p>
      <w:pPr>
        <w:pStyle w:val="ListBullet"/>
        <w:spacing w:after="80" w:line="300" w:lineRule="auto"/>
        <w:ind w:left="540" w:hanging="271"/>
      </w:pPr>
      <w:r>
        <w:rPr>
          <w:rFonts w:ascii="Calibri" w:hAnsi="Calibri" w:eastAsia="STHeiti"/>
          <w:b w:val="0"/>
          <w:color w:val="000000"/>
          <w:sz w:val="21"/>
        </w:rPr>
        <w:t>客户投诉、退款、赔付、舆情或合规风险超过可接受范围；</w:t>
      </w:r>
    </w:p>
    <w:p>
      <w:pPr>
        <w:pStyle w:val="ListBullet"/>
        <w:spacing w:after="80" w:line="300" w:lineRule="auto"/>
        <w:ind w:left="540" w:hanging="271"/>
      </w:pPr>
      <w:r>
        <w:rPr>
          <w:rFonts w:ascii="Calibri" w:hAnsi="Calibri" w:eastAsia="STHeiti"/>
          <w:b w:val="0"/>
          <w:color w:val="000000"/>
          <w:sz w:val="21"/>
        </w:rPr>
        <w:t>产品与公司战略、航线资源、技术能力或合作条件不再匹配；</w:t>
      </w:r>
    </w:p>
    <w:p>
      <w:pPr>
        <w:pStyle w:val="ListBullet"/>
        <w:spacing w:after="80" w:line="300" w:lineRule="auto"/>
        <w:ind w:left="540" w:hanging="271"/>
      </w:pPr>
      <w:r>
        <w:rPr>
          <w:rFonts w:ascii="Calibri" w:hAnsi="Calibri" w:eastAsia="STHeiti"/>
          <w:b w:val="0"/>
          <w:color w:val="000000"/>
          <w:sz w:val="21"/>
        </w:rPr>
        <w:t>因法律法规、监管要求、重大安全风险或系统风险必须停止销售。</w:t>
      </w:r>
    </w:p>
    <w:p>
      <w:pPr>
        <w:pStyle w:val="Heading2"/>
        <w:keepNext/>
      </w:pPr>
      <w:r>
        <w:rPr>
          <w:rFonts w:ascii="Calibri" w:hAnsi="Calibri" w:eastAsia="STHeiti"/>
          <w:b/>
          <w:color w:val="2E74B5"/>
          <w:sz w:val="26"/>
        </w:rPr>
        <w:t>2. 下线评估与实施</w:t>
      </w:r>
    </w:p>
    <w:p>
      <w:pPr>
        <w:pStyle w:val="ListNumber"/>
        <w:spacing w:after="80" w:line="300" w:lineRule="auto"/>
        <w:ind w:left="540" w:hanging="271"/>
      </w:pPr>
      <w:r>
        <w:rPr>
          <w:rFonts w:ascii="Calibri" w:hAnsi="Calibri" w:eastAsia="STHeiti"/>
          <w:b w:val="0"/>
          <w:color w:val="000000"/>
          <w:sz w:val="21"/>
        </w:rPr>
        <w:t>产品负责人发起《产品变更/下线申请及评估单》，说明触发原因、经营数据、客户及订单影响、替代方案、存量订单处置、供应商/渠道通知、系统下架和预计完成时间。</w:t>
      </w:r>
    </w:p>
    <w:p>
      <w:pPr>
        <w:pStyle w:val="ListNumber"/>
        <w:spacing w:after="80" w:line="300" w:lineRule="auto"/>
        <w:ind w:left="540" w:hanging="271"/>
      </w:pPr>
      <w:r>
        <w:rPr>
          <w:rFonts w:ascii="Calibri" w:hAnsi="Calibri" w:eastAsia="STHeiti"/>
          <w:b w:val="0"/>
          <w:color w:val="000000"/>
          <w:sz w:val="21"/>
        </w:rPr>
        <w:t>收益/财务、法务合规、信息技术、客服/运行、销售/渠道及相关部门完成影响评估与会签。</w:t>
      </w:r>
    </w:p>
    <w:p>
      <w:pPr>
        <w:pStyle w:val="ListNumber"/>
        <w:spacing w:after="80" w:line="300" w:lineRule="auto"/>
        <w:ind w:left="540" w:hanging="271"/>
      </w:pPr>
      <w:r>
        <w:rPr>
          <w:rFonts w:ascii="Calibri" w:hAnsi="Calibri" w:eastAsia="STHeiti"/>
          <w:b w:val="0"/>
          <w:color w:val="000000"/>
          <w:sz w:val="21"/>
        </w:rPr>
        <w:t>中心总经理批准下线；重大下线方案在批准前提报VPCM审阅。</w:t>
      </w:r>
    </w:p>
    <w:p>
      <w:pPr>
        <w:pStyle w:val="ListNumber"/>
        <w:spacing w:after="80" w:line="300" w:lineRule="auto"/>
        <w:ind w:left="540" w:hanging="271"/>
      </w:pPr>
      <w:r>
        <w:rPr>
          <w:rFonts w:ascii="Calibri" w:hAnsi="Calibri" w:eastAsia="STHeiti"/>
          <w:b w:val="0"/>
          <w:color w:val="000000"/>
          <w:sz w:val="21"/>
        </w:rPr>
        <w:t>产品负责人按批准方案执行停售、渠道关闭、系统下架、宣传撤回、存量订单履约/退款/改签、客户通知和供应商结算。</w:t>
      </w:r>
    </w:p>
    <w:p>
      <w:pPr>
        <w:pStyle w:val="ListNumber"/>
        <w:spacing w:after="80" w:line="300" w:lineRule="auto"/>
        <w:ind w:left="540" w:hanging="271"/>
      </w:pPr>
      <w:r>
        <w:rPr>
          <w:rFonts w:ascii="Calibri" w:hAnsi="Calibri" w:eastAsia="STHeiti"/>
          <w:b w:val="0"/>
          <w:color w:val="000000"/>
          <w:sz w:val="21"/>
        </w:rPr>
        <w:t>下线完成后十个工作日内形成复盘报告，更新产品台账并归档。</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350"/>
        <w:gridCol w:w="7010"/>
      </w:tblGrid>
      <w:tr>
        <w:trPr>
          <w:cantSplit/>
          <w:tblHeader w:val="true"/>
        </w:trPr>
        <w:tc>
          <w:tcPr>
            <w:tcW w:type="dxa" w:w="23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下线控制点</w:t>
            </w:r>
          </w:p>
        </w:tc>
        <w:tc>
          <w:tcPr>
            <w:tcW w:type="dxa" w:w="70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要求</w:t>
            </w:r>
          </w:p>
        </w:tc>
      </w:tr>
      <w:tr>
        <w:trPr>
          <w:cantSplit/>
        </w:trPr>
        <w:tc>
          <w:tcPr>
            <w:tcW w:type="dxa" w:w="2350"/>
          </w:tcPr>
          <w:p>
            <w:pPr>
              <w:spacing w:after="0" w:line="276" w:lineRule="auto"/>
            </w:pPr>
            <w:r>
              <w:rPr>
                <w:rFonts w:ascii="Calibri" w:hAnsi="Calibri" w:eastAsia="STHeiti"/>
                <w:b w:val="0"/>
                <w:color w:val="000000"/>
                <w:sz w:val="19"/>
              </w:rPr>
              <w:t>客户权益优先</w:t>
            </w:r>
          </w:p>
        </w:tc>
        <w:tc>
          <w:tcPr>
            <w:tcW w:type="dxa" w:w="7010"/>
          </w:tcPr>
          <w:p>
            <w:pPr>
              <w:spacing w:after="0" w:line="276" w:lineRule="auto"/>
            </w:pPr>
            <w:r>
              <w:rPr>
                <w:rFonts w:ascii="Calibri" w:hAnsi="Calibri" w:eastAsia="STHeiti"/>
                <w:b w:val="0"/>
                <w:color w:val="000000"/>
                <w:sz w:val="19"/>
              </w:rPr>
              <w:t>不得因下线损害已成交客户的合同权益；存量订单应明确履约、替代、退款或补偿方案。</w:t>
            </w:r>
          </w:p>
        </w:tc>
      </w:tr>
      <w:tr>
        <w:trPr>
          <w:cantSplit/>
        </w:trPr>
        <w:tc>
          <w:tcPr>
            <w:tcW w:type="dxa" w:w="2350"/>
          </w:tcPr>
          <w:p>
            <w:pPr>
              <w:spacing w:after="0" w:line="276" w:lineRule="auto"/>
            </w:pPr>
            <w:r>
              <w:rPr>
                <w:rFonts w:ascii="Calibri" w:hAnsi="Calibri" w:eastAsia="STHeiti"/>
                <w:b w:val="0"/>
                <w:color w:val="000000"/>
                <w:sz w:val="19"/>
              </w:rPr>
              <w:t>对外一致性</w:t>
            </w:r>
          </w:p>
        </w:tc>
        <w:tc>
          <w:tcPr>
            <w:tcW w:type="dxa" w:w="7010"/>
          </w:tcPr>
          <w:p>
            <w:pPr>
              <w:spacing w:after="0" w:line="276" w:lineRule="auto"/>
            </w:pPr>
            <w:r>
              <w:rPr>
                <w:rFonts w:ascii="Calibri" w:hAnsi="Calibri" w:eastAsia="STHeiti"/>
                <w:b w:val="0"/>
                <w:color w:val="000000"/>
                <w:sz w:val="19"/>
              </w:rPr>
              <w:t>停售时间、渠道公告、客服口径、供应商通知和系统配置应保持一致。</w:t>
            </w:r>
          </w:p>
        </w:tc>
      </w:tr>
      <w:tr>
        <w:trPr>
          <w:cantSplit/>
        </w:trPr>
        <w:tc>
          <w:tcPr>
            <w:tcW w:type="dxa" w:w="2350"/>
          </w:tcPr>
          <w:p>
            <w:pPr>
              <w:spacing w:after="0" w:line="276" w:lineRule="auto"/>
            </w:pPr>
            <w:r>
              <w:rPr>
                <w:rFonts w:ascii="Calibri" w:hAnsi="Calibri" w:eastAsia="STHeiti"/>
                <w:b w:val="0"/>
                <w:color w:val="000000"/>
                <w:sz w:val="19"/>
              </w:rPr>
              <w:t>数据与结算</w:t>
            </w:r>
          </w:p>
        </w:tc>
        <w:tc>
          <w:tcPr>
            <w:tcW w:type="dxa" w:w="7010"/>
          </w:tcPr>
          <w:p>
            <w:pPr>
              <w:spacing w:after="0" w:line="276" w:lineRule="auto"/>
            </w:pPr>
            <w:r>
              <w:rPr>
                <w:rFonts w:ascii="Calibri" w:hAnsi="Calibri" w:eastAsia="STHeiti"/>
                <w:b w:val="0"/>
                <w:color w:val="000000"/>
                <w:sz w:val="19"/>
              </w:rPr>
              <w:t>关闭新增销售后继续跟踪未完结订单、退款、赔付、应收应付和数据留存。</w:t>
            </w:r>
          </w:p>
        </w:tc>
      </w:tr>
      <w:tr>
        <w:trPr>
          <w:cantSplit/>
        </w:trPr>
        <w:tc>
          <w:tcPr>
            <w:tcW w:type="dxa" w:w="2350"/>
          </w:tcPr>
          <w:p>
            <w:pPr>
              <w:spacing w:after="0" w:line="276" w:lineRule="auto"/>
            </w:pPr>
            <w:r>
              <w:rPr>
                <w:rFonts w:ascii="Calibri" w:hAnsi="Calibri" w:eastAsia="STHeiti"/>
                <w:b w:val="0"/>
                <w:color w:val="000000"/>
                <w:sz w:val="19"/>
              </w:rPr>
              <w:t>经验沉淀</w:t>
            </w:r>
          </w:p>
        </w:tc>
        <w:tc>
          <w:tcPr>
            <w:tcW w:type="dxa" w:w="7010"/>
          </w:tcPr>
          <w:p>
            <w:pPr>
              <w:spacing w:after="0" w:line="276" w:lineRule="auto"/>
            </w:pPr>
            <w:r>
              <w:rPr>
                <w:rFonts w:ascii="Calibri" w:hAnsi="Calibri" w:eastAsia="STHeiti"/>
                <w:b w:val="0"/>
                <w:color w:val="000000"/>
                <w:sz w:val="19"/>
              </w:rPr>
              <w:t>分析下线原因，形成可用于产品设计、供应商管理和创新决策的经验。</w:t>
            </w:r>
          </w:p>
        </w:tc>
      </w:tr>
    </w:tbl>
    <w:p>
      <w:pPr>
        <w:spacing w:before="0" w:after="60" w:line="300" w:lineRule="auto"/>
      </w:pPr>
    </w:p>
    <w:p>
      <w:pPr>
        <w:pStyle w:val="Heading1"/>
        <w:keepNext/>
      </w:pPr>
      <w:r>
        <w:rPr>
          <w:rFonts w:ascii="Calibri" w:hAnsi="Calibri" w:eastAsia="STHeiti"/>
          <w:b/>
          <w:color w:val="2E74B5"/>
          <w:sz w:val="32"/>
        </w:rPr>
        <w:t>八、经营业绩跟踪与VPCM审阅</w:t>
      </w:r>
    </w:p>
    <w:p>
      <w:pPr>
        <w:pStyle w:val="Heading2"/>
        <w:keepNext/>
      </w:pPr>
      <w:r>
        <w:rPr>
          <w:rFonts w:ascii="Calibri" w:hAnsi="Calibri" w:eastAsia="STHeiti"/>
          <w:b/>
          <w:color w:val="2E74B5"/>
          <w:sz w:val="26"/>
        </w:rPr>
        <w:t>1. 指标体系与目标设定</w:t>
      </w:r>
    </w:p>
    <w:p>
      <w:pPr>
        <w:spacing w:before="0" w:after="120" w:line="300" w:lineRule="auto"/>
      </w:pPr>
      <w:r>
        <w:rPr>
          <w:rFonts w:ascii="Calibri" w:hAnsi="Calibri" w:eastAsia="STHeiti"/>
          <w:b w:val="0"/>
          <w:color w:val="000000"/>
          <w:sz w:val="21"/>
        </w:rPr>
        <w:t>产品负责人应在立项或年度经营计划中设定产品量化目标。目标可按产品/渠道/市场分解，基线、口径、数据来源和责任人应明确；因市场、航班、供应或重大事件需要调整目标时，应说明原因并经中心总经理确认。</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450"/>
        <w:gridCol w:w="4360"/>
        <w:gridCol w:w="3550"/>
      </w:tblGrid>
      <w:tr>
        <w:trPr>
          <w:cantSplit/>
          <w:tblHeader w:val="true"/>
        </w:trPr>
        <w:tc>
          <w:tcPr>
            <w:tcW w:type="dxa" w:w="14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维度</w:t>
            </w:r>
          </w:p>
        </w:tc>
        <w:tc>
          <w:tcPr>
            <w:tcW w:type="dxa" w:w="43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核心指标</w:t>
            </w:r>
          </w:p>
        </w:tc>
        <w:tc>
          <w:tcPr>
            <w:tcW w:type="dxa" w:w="35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管理用途</w:t>
            </w:r>
          </w:p>
        </w:tc>
      </w:tr>
      <w:tr>
        <w:trPr>
          <w:cantSplit/>
        </w:trPr>
        <w:tc>
          <w:tcPr>
            <w:tcW w:type="dxa" w:w="1450"/>
          </w:tcPr>
          <w:p>
            <w:pPr>
              <w:spacing w:after="0" w:line="276" w:lineRule="auto"/>
            </w:pPr>
            <w:r>
              <w:rPr>
                <w:rFonts w:ascii="Calibri" w:hAnsi="Calibri" w:eastAsia="STHeiti"/>
                <w:b w:val="0"/>
                <w:color w:val="000000"/>
                <w:sz w:val="19"/>
              </w:rPr>
              <w:t>规模</w:t>
            </w:r>
          </w:p>
        </w:tc>
        <w:tc>
          <w:tcPr>
            <w:tcW w:type="dxa" w:w="4360"/>
          </w:tcPr>
          <w:p>
            <w:pPr>
              <w:spacing w:after="0" w:line="276" w:lineRule="auto"/>
            </w:pPr>
            <w:r>
              <w:rPr>
                <w:rFonts w:ascii="Calibri" w:hAnsi="Calibri" w:eastAsia="STHeiti"/>
                <w:b w:val="0"/>
                <w:color w:val="000000"/>
                <w:sz w:val="19"/>
              </w:rPr>
              <w:t>销售额、订单量、旅客量、产品渗透率、渠道覆盖。</w:t>
            </w:r>
          </w:p>
        </w:tc>
        <w:tc>
          <w:tcPr>
            <w:tcW w:type="dxa" w:w="3550"/>
          </w:tcPr>
          <w:p>
            <w:pPr>
              <w:spacing w:after="0" w:line="276" w:lineRule="auto"/>
            </w:pPr>
            <w:r>
              <w:rPr>
                <w:rFonts w:ascii="Calibri" w:hAnsi="Calibri" w:eastAsia="STHeiti"/>
                <w:b w:val="0"/>
                <w:color w:val="000000"/>
                <w:sz w:val="19"/>
              </w:rPr>
              <w:t>判断市场接受度与增长。</w:t>
            </w:r>
          </w:p>
        </w:tc>
      </w:tr>
      <w:tr>
        <w:trPr>
          <w:cantSplit/>
        </w:trPr>
        <w:tc>
          <w:tcPr>
            <w:tcW w:type="dxa" w:w="1450"/>
          </w:tcPr>
          <w:p>
            <w:pPr>
              <w:spacing w:after="0" w:line="276" w:lineRule="auto"/>
            </w:pPr>
            <w:r>
              <w:rPr>
                <w:rFonts w:ascii="Calibri" w:hAnsi="Calibri" w:eastAsia="STHeiti"/>
                <w:b w:val="0"/>
                <w:color w:val="000000"/>
                <w:sz w:val="19"/>
              </w:rPr>
              <w:t>效益</w:t>
            </w:r>
          </w:p>
        </w:tc>
        <w:tc>
          <w:tcPr>
            <w:tcW w:type="dxa" w:w="4360"/>
          </w:tcPr>
          <w:p>
            <w:pPr>
              <w:spacing w:after="0" w:line="276" w:lineRule="auto"/>
            </w:pPr>
            <w:r>
              <w:rPr>
                <w:rFonts w:ascii="Calibri" w:hAnsi="Calibri" w:eastAsia="STHeiti"/>
                <w:b w:val="0"/>
                <w:color w:val="000000"/>
                <w:sz w:val="19"/>
              </w:rPr>
              <w:t>收入、毛利/贡献利润、客单价、营销投入产出、退款损失。</w:t>
            </w:r>
          </w:p>
        </w:tc>
        <w:tc>
          <w:tcPr>
            <w:tcW w:type="dxa" w:w="3550"/>
          </w:tcPr>
          <w:p>
            <w:pPr>
              <w:spacing w:after="0" w:line="276" w:lineRule="auto"/>
            </w:pPr>
            <w:r>
              <w:rPr>
                <w:rFonts w:ascii="Calibri" w:hAnsi="Calibri" w:eastAsia="STHeiti"/>
                <w:b w:val="0"/>
                <w:color w:val="000000"/>
                <w:sz w:val="19"/>
              </w:rPr>
              <w:t>判断财务可持续性。</w:t>
            </w:r>
          </w:p>
        </w:tc>
      </w:tr>
      <w:tr>
        <w:trPr>
          <w:cantSplit/>
        </w:trPr>
        <w:tc>
          <w:tcPr>
            <w:tcW w:type="dxa" w:w="1450"/>
          </w:tcPr>
          <w:p>
            <w:pPr>
              <w:spacing w:after="0" w:line="276" w:lineRule="auto"/>
            </w:pPr>
            <w:r>
              <w:rPr>
                <w:rFonts w:ascii="Calibri" w:hAnsi="Calibri" w:eastAsia="STHeiti"/>
                <w:b w:val="0"/>
                <w:color w:val="000000"/>
                <w:sz w:val="19"/>
              </w:rPr>
              <w:t>转化</w:t>
            </w:r>
          </w:p>
        </w:tc>
        <w:tc>
          <w:tcPr>
            <w:tcW w:type="dxa" w:w="4360"/>
          </w:tcPr>
          <w:p>
            <w:pPr>
              <w:spacing w:after="0" w:line="276" w:lineRule="auto"/>
            </w:pPr>
            <w:r>
              <w:rPr>
                <w:rFonts w:ascii="Calibri" w:hAnsi="Calibri" w:eastAsia="STHeiti"/>
                <w:b w:val="0"/>
                <w:color w:val="000000"/>
                <w:sz w:val="19"/>
              </w:rPr>
              <w:t>访问/询单转化率、支付成功率、弃单率、活动转化。</w:t>
            </w:r>
          </w:p>
        </w:tc>
        <w:tc>
          <w:tcPr>
            <w:tcW w:type="dxa" w:w="3550"/>
          </w:tcPr>
          <w:p>
            <w:pPr>
              <w:spacing w:after="0" w:line="276" w:lineRule="auto"/>
            </w:pPr>
            <w:r>
              <w:rPr>
                <w:rFonts w:ascii="Calibri" w:hAnsi="Calibri" w:eastAsia="STHeiti"/>
                <w:b w:val="0"/>
                <w:color w:val="000000"/>
                <w:sz w:val="19"/>
              </w:rPr>
              <w:t>定位销售漏斗和系统/价格问题。</w:t>
            </w:r>
          </w:p>
        </w:tc>
      </w:tr>
      <w:tr>
        <w:trPr>
          <w:cantSplit/>
        </w:trPr>
        <w:tc>
          <w:tcPr>
            <w:tcW w:type="dxa" w:w="1450"/>
          </w:tcPr>
          <w:p>
            <w:pPr>
              <w:spacing w:after="0" w:line="276" w:lineRule="auto"/>
            </w:pPr>
            <w:r>
              <w:rPr>
                <w:rFonts w:ascii="Calibri" w:hAnsi="Calibri" w:eastAsia="STHeiti"/>
                <w:b w:val="0"/>
                <w:color w:val="000000"/>
                <w:sz w:val="19"/>
              </w:rPr>
              <w:t>体验与履约</w:t>
            </w:r>
          </w:p>
        </w:tc>
        <w:tc>
          <w:tcPr>
            <w:tcW w:type="dxa" w:w="4360"/>
          </w:tcPr>
          <w:p>
            <w:pPr>
              <w:spacing w:after="0" w:line="276" w:lineRule="auto"/>
            </w:pPr>
            <w:r>
              <w:rPr>
                <w:rFonts w:ascii="Calibri" w:hAnsi="Calibri" w:eastAsia="STHeiti"/>
                <w:b w:val="0"/>
                <w:color w:val="000000"/>
                <w:sz w:val="19"/>
              </w:rPr>
              <w:t>确认率、履约率、投诉率、退款率、处理时效、满意度。</w:t>
            </w:r>
          </w:p>
        </w:tc>
        <w:tc>
          <w:tcPr>
            <w:tcW w:type="dxa" w:w="3550"/>
          </w:tcPr>
          <w:p>
            <w:pPr>
              <w:spacing w:after="0" w:line="276" w:lineRule="auto"/>
            </w:pPr>
            <w:r>
              <w:rPr>
                <w:rFonts w:ascii="Calibri" w:hAnsi="Calibri" w:eastAsia="STHeiti"/>
                <w:b w:val="0"/>
                <w:color w:val="000000"/>
                <w:sz w:val="19"/>
              </w:rPr>
              <w:t>保障客户体验和供应质量。</w:t>
            </w:r>
          </w:p>
        </w:tc>
      </w:tr>
      <w:tr>
        <w:trPr>
          <w:cantSplit/>
        </w:trPr>
        <w:tc>
          <w:tcPr>
            <w:tcW w:type="dxa" w:w="1450"/>
          </w:tcPr>
          <w:p>
            <w:pPr>
              <w:spacing w:after="0" w:line="276" w:lineRule="auto"/>
            </w:pPr>
            <w:r>
              <w:rPr>
                <w:rFonts w:ascii="Calibri" w:hAnsi="Calibri" w:eastAsia="STHeiti"/>
                <w:b w:val="0"/>
                <w:color w:val="000000"/>
                <w:sz w:val="19"/>
              </w:rPr>
              <w:t>风险</w:t>
            </w:r>
          </w:p>
        </w:tc>
        <w:tc>
          <w:tcPr>
            <w:tcW w:type="dxa" w:w="4360"/>
          </w:tcPr>
          <w:p>
            <w:pPr>
              <w:spacing w:after="0" w:line="276" w:lineRule="auto"/>
            </w:pPr>
            <w:r>
              <w:rPr>
                <w:rFonts w:ascii="Calibri" w:hAnsi="Calibri" w:eastAsia="STHeiti"/>
                <w:b w:val="0"/>
                <w:color w:val="000000"/>
                <w:sz w:val="19"/>
              </w:rPr>
              <w:t>重大事件数、合规问题、舆情、异常价格/订单、供应商违约。</w:t>
            </w:r>
          </w:p>
        </w:tc>
        <w:tc>
          <w:tcPr>
            <w:tcW w:type="dxa" w:w="3550"/>
          </w:tcPr>
          <w:p>
            <w:pPr>
              <w:spacing w:after="0" w:line="276" w:lineRule="auto"/>
            </w:pPr>
            <w:r>
              <w:rPr>
                <w:rFonts w:ascii="Calibri" w:hAnsi="Calibri" w:eastAsia="STHeiti"/>
                <w:b w:val="0"/>
                <w:color w:val="000000"/>
                <w:sz w:val="19"/>
              </w:rPr>
              <w:t>识别红线与整改重点。</w:t>
            </w:r>
          </w:p>
        </w:tc>
      </w:tr>
    </w:tbl>
    <w:p>
      <w:pPr>
        <w:spacing w:before="0" w:after="60" w:line="300" w:lineRule="auto"/>
      </w:pPr>
    </w:p>
    <w:p>
      <w:pPr>
        <w:pStyle w:val="Heading2"/>
        <w:keepNext/>
      </w:pPr>
      <w:r>
        <w:rPr>
          <w:rFonts w:ascii="Calibri" w:hAnsi="Calibri" w:eastAsia="STHeiti"/>
          <w:b/>
          <w:color w:val="2E74B5"/>
          <w:sz w:val="26"/>
        </w:rPr>
        <w:t>2. 月度复盘</w:t>
      </w:r>
    </w:p>
    <w:p>
      <w:pPr>
        <w:spacing w:before="0" w:after="120" w:line="300" w:lineRule="auto"/>
      </w:pPr>
      <w:r>
        <w:rPr>
          <w:rFonts w:ascii="Calibri" w:hAnsi="Calibri" w:eastAsia="STHeiti"/>
          <w:b w:val="0"/>
          <w:color w:val="000000"/>
          <w:sz w:val="21"/>
        </w:rPr>
        <w:t>产品负责人应在每月结束后十个工作日内完成《产品运营月度复盘报告》，与预算/目标、上月、去年同期或同类产品进行比较，识别偏差、原因、风险和纠偏动作。中心总经理组织月度经营复盘，明确行动责任人、完成时限及需升级事项。</w:t>
      </w:r>
    </w:p>
    <w:p>
      <w:pPr>
        <w:pStyle w:val="Heading2"/>
        <w:keepNext/>
      </w:pPr>
      <w:r>
        <w:rPr>
          <w:rFonts w:ascii="Calibri" w:hAnsi="Calibri" w:eastAsia="STHeiti"/>
          <w:b/>
          <w:color w:val="2E74B5"/>
          <w:sz w:val="26"/>
        </w:rPr>
        <w:t>3. 季度VPCM审阅</w:t>
      </w:r>
    </w:p>
    <w:p>
      <w:pPr>
        <w:spacing w:before="0" w:after="120" w:line="300" w:lineRule="auto"/>
      </w:pPr>
      <w:r>
        <w:rPr>
          <w:rFonts w:ascii="Calibri" w:hAnsi="Calibri" w:eastAsia="STHeiti"/>
          <w:b w:val="0"/>
          <w:color w:val="000000"/>
          <w:sz w:val="21"/>
        </w:rPr>
        <w:t>数字化营销服务中心应按季度汇总澳航假期经营结果、重点产品表现、重大风险、重要创新试点、中止/下线事项及下一季度行动计划，提报VPCM审阅。VPCM意见应形成纪要或行动清单，由中心总经理组织落实并在下一次审阅时报告进展。</w:t>
      </w:r>
    </w:p>
    <w:p>
      <w:pPr>
        <w:keepNext/>
        <w:spacing w:before="80" w:after="80" w:line="300" w:lineRule="auto"/>
      </w:pPr>
      <w:r>
        <w:rPr>
          <w:rFonts w:ascii="Calibri" w:hAnsi="Calibri" w:eastAsia="STHeiti"/>
          <w:b/>
          <w:color w:val="1F4D78"/>
          <w:sz w:val="21"/>
        </w:rPr>
        <w:t>经营回顾流</w:t>
      </w:r>
    </w:p>
    <w:p>
      <w:pPr>
        <w:spacing w:after="140" w:line="264" w:lineRule="auto"/>
        <w:jc w:val="center"/>
      </w:pPr>
      <w:r>
        <w:rPr>
          <w:rFonts w:ascii="Calibri" w:hAnsi="Calibri" w:eastAsia="STHeiti"/>
          <w:b/>
          <w:color w:val="FFFFFF"/>
          <w:sz w:val="19"/>
          <w:shd w:fill="2E74B5"/>
        </w:rPr>
        <w:t>月度数据汇总</w:t>
      </w:r>
      <w:r>
        <w:rPr>
          <w:rFonts w:ascii="Calibri" w:hAnsi="Calibri" w:eastAsia="STHeiti"/>
          <w:b/>
          <w:color w:val="5B6573"/>
          <w:sz w:val="18"/>
        </w:rPr>
        <w:t xml:space="preserve">  →  </w:t>
      </w:r>
      <w:r>
        <w:rPr>
          <w:rFonts w:ascii="Calibri" w:hAnsi="Calibri" w:eastAsia="STHeiti"/>
          <w:b/>
          <w:color w:val="FFFFFF"/>
          <w:sz w:val="19"/>
          <w:shd w:fill="1F4D78"/>
        </w:rPr>
        <w:t>产品负责人复盘</w:t>
      </w:r>
      <w:r>
        <w:rPr>
          <w:rFonts w:ascii="Calibri" w:hAnsi="Calibri" w:eastAsia="STHeiti"/>
          <w:b/>
          <w:color w:val="5B6573"/>
          <w:sz w:val="18"/>
        </w:rPr>
        <w:t xml:space="preserve">  →  </w:t>
      </w:r>
      <w:r>
        <w:rPr>
          <w:rFonts w:ascii="Calibri" w:hAnsi="Calibri" w:eastAsia="STHeiti"/>
          <w:b/>
          <w:color w:val="FFFFFF"/>
          <w:sz w:val="19"/>
          <w:shd w:fill="2E74B5"/>
        </w:rPr>
        <w:t>中心总经理经营会</w:t>
      </w:r>
      <w:r>
        <w:rPr>
          <w:rFonts w:ascii="Calibri" w:hAnsi="Calibri" w:eastAsia="STHeiti"/>
          <w:b/>
          <w:color w:val="5B6573"/>
          <w:sz w:val="18"/>
        </w:rPr>
        <w:t xml:space="preserve">  →  </w:t>
      </w:r>
      <w:r>
        <w:rPr>
          <w:rFonts w:ascii="Calibri" w:hAnsi="Calibri" w:eastAsia="STHeiti"/>
          <w:b/>
          <w:color w:val="FFFFFF"/>
          <w:sz w:val="19"/>
          <w:shd w:fill="1F4D78"/>
        </w:rPr>
        <w:t>季度汇总分析</w:t>
      </w:r>
      <w:r>
        <w:rPr>
          <w:rFonts w:ascii="Calibri" w:hAnsi="Calibri" w:eastAsia="STHeiti"/>
          <w:b/>
          <w:color w:val="5B6573"/>
          <w:sz w:val="18"/>
        </w:rPr>
        <w:t xml:space="preserve">  →  </w:t>
      </w:r>
      <w:r>
        <w:rPr>
          <w:rFonts w:ascii="Calibri" w:hAnsi="Calibri" w:eastAsia="STHeiti"/>
          <w:b/>
          <w:color w:val="FFFFFF"/>
          <w:sz w:val="19"/>
          <w:shd w:fill="2E74B5"/>
        </w:rPr>
        <w:t>VPCM审阅</w:t>
      </w:r>
      <w:r>
        <w:rPr>
          <w:rFonts w:ascii="Calibri" w:hAnsi="Calibri" w:eastAsia="STHeiti"/>
          <w:b/>
          <w:color w:val="5B6573"/>
          <w:sz w:val="18"/>
        </w:rPr>
        <w:t xml:space="preserve">  →  </w:t>
      </w:r>
      <w:r>
        <w:rPr>
          <w:rFonts w:ascii="Calibri" w:hAnsi="Calibri" w:eastAsia="STHeiti"/>
          <w:b/>
          <w:color w:val="FFFFFF"/>
          <w:sz w:val="19"/>
          <w:shd w:fill="1F4D78"/>
        </w:rPr>
        <w:t>行动闭环</w:t>
      </w:r>
    </w:p>
    <w:p>
      <w:pPr>
        <w:pStyle w:val="Heading1"/>
        <w:keepNext/>
      </w:pPr>
      <w:r>
        <w:rPr>
          <w:rFonts w:ascii="Calibri" w:hAnsi="Calibri" w:eastAsia="STHeiti"/>
          <w:b/>
          <w:color w:val="2E74B5"/>
          <w:sz w:val="32"/>
        </w:rPr>
        <w:t>九、商业模式创新试点管理</w:t>
      </w:r>
    </w:p>
    <w:p>
      <w:pPr>
        <w:pStyle w:val="Heading2"/>
        <w:keepNext/>
      </w:pPr>
      <w:r>
        <w:rPr>
          <w:rFonts w:ascii="Calibri" w:hAnsi="Calibri" w:eastAsia="STHeiti"/>
          <w:b/>
          <w:color w:val="2E74B5"/>
          <w:sz w:val="26"/>
        </w:rPr>
        <w:t>1. 创新范围与基本要求</w:t>
      </w:r>
    </w:p>
    <w:p>
      <w:pPr>
        <w:spacing w:before="0" w:after="120" w:line="300" w:lineRule="auto"/>
      </w:pPr>
      <w:r>
        <w:rPr>
          <w:rFonts w:ascii="Calibri" w:hAnsi="Calibri" w:eastAsia="STHeiti"/>
          <w:b w:val="0"/>
          <w:color w:val="000000"/>
          <w:sz w:val="21"/>
        </w:rPr>
        <w:t>商业模式创新可包括新的产品组合、定价/结算方式、渠道合作、会员权益、供应链协作、营销转化机制或交付方式。创新不得以追求短期收入为由突破客户权益、合规、财务、数据安全和供应商准入要求。所有试点均须明确目标、边界、期限、投入、成功标准、风险控制、客户告知和退出方案。</w:t>
      </w:r>
    </w:p>
    <w:p>
      <w:pPr>
        <w:pStyle w:val="Heading2"/>
        <w:keepNext/>
      </w:pPr>
      <w:r>
        <w:rPr>
          <w:rFonts w:ascii="Calibri" w:hAnsi="Calibri" w:eastAsia="STHeiti"/>
          <w:b/>
          <w:color w:val="2E74B5"/>
          <w:sz w:val="26"/>
        </w:rPr>
        <w:t>2. 机会征集与概念筛选</w:t>
      </w:r>
    </w:p>
    <w:p>
      <w:pPr>
        <w:pStyle w:val="ListNumber"/>
        <w:spacing w:after="80" w:line="300" w:lineRule="auto"/>
        <w:ind w:left="540" w:hanging="271"/>
      </w:pPr>
      <w:r>
        <w:rPr>
          <w:rFonts w:ascii="Calibri" w:hAnsi="Calibri" w:eastAsia="STHeiti"/>
          <w:b w:val="0"/>
          <w:color w:val="000000"/>
          <w:sz w:val="21"/>
        </w:rPr>
        <w:t>产品负责人或相关部门提出创新机会，说明痛点、目标客群、拟解决问题、初步商业逻辑和预期价值。</w:t>
      </w:r>
    </w:p>
    <w:p>
      <w:pPr>
        <w:pStyle w:val="ListNumber"/>
        <w:spacing w:after="80" w:line="300" w:lineRule="auto"/>
        <w:ind w:left="540" w:hanging="271"/>
      </w:pPr>
      <w:r>
        <w:rPr>
          <w:rFonts w:ascii="Calibri" w:hAnsi="Calibri" w:eastAsia="STHeiti"/>
          <w:b w:val="0"/>
          <w:color w:val="000000"/>
          <w:sz w:val="21"/>
        </w:rPr>
        <w:t>数字化营销服务中心组织商业、财务、合规、技术及相关部门进行概念筛选，判断是否具有客户价值、资源可得性、可测试性及风险可控性。</w:t>
      </w:r>
    </w:p>
    <w:p>
      <w:pPr>
        <w:pStyle w:val="ListNumber"/>
        <w:spacing w:after="80" w:line="300" w:lineRule="auto"/>
        <w:ind w:left="540" w:hanging="271"/>
      </w:pPr>
      <w:r>
        <w:rPr>
          <w:rFonts w:ascii="Calibri" w:hAnsi="Calibri" w:eastAsia="STHeiti"/>
          <w:b w:val="0"/>
          <w:color w:val="000000"/>
          <w:sz w:val="21"/>
        </w:rPr>
        <w:t>筛选通过后编制《商业模式创新试点申请书》，未通过的应记录原因；具备后续价值的可纳入创新机会池。</w:t>
      </w:r>
    </w:p>
    <w:p>
      <w:pPr>
        <w:pStyle w:val="Heading2"/>
        <w:keepNext/>
      </w:pPr>
      <w:r>
        <w:rPr>
          <w:rFonts w:ascii="Calibri" w:hAnsi="Calibri" w:eastAsia="STHeiti"/>
          <w:b/>
          <w:color w:val="2E74B5"/>
          <w:sz w:val="26"/>
        </w:rPr>
        <w:t>3. 风险分级与审批</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100"/>
        <w:gridCol w:w="3350"/>
        <w:gridCol w:w="2500"/>
        <w:gridCol w:w="2410"/>
      </w:tblGrid>
      <w:tr>
        <w:trPr>
          <w:cantSplit/>
          <w:tblHeader w:val="true"/>
        </w:trPr>
        <w:tc>
          <w:tcPr>
            <w:tcW w:type="dxa" w:w="11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等级</w:t>
            </w:r>
          </w:p>
        </w:tc>
        <w:tc>
          <w:tcPr>
            <w:tcW w:type="dxa" w:w="33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判定参考</w:t>
            </w:r>
          </w:p>
        </w:tc>
        <w:tc>
          <w:tcPr>
            <w:tcW w:type="dxa" w:w="25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审批路径</w:t>
            </w:r>
          </w:p>
        </w:tc>
        <w:tc>
          <w:tcPr>
            <w:tcW w:type="dxa" w:w="24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管理要求</w:t>
            </w:r>
          </w:p>
        </w:tc>
      </w:tr>
      <w:tr>
        <w:trPr>
          <w:cantSplit/>
        </w:trPr>
        <w:tc>
          <w:tcPr>
            <w:tcW w:type="dxa" w:w="1100"/>
          </w:tcPr>
          <w:p>
            <w:pPr>
              <w:spacing w:after="0" w:line="276" w:lineRule="auto"/>
            </w:pPr>
            <w:r>
              <w:rPr>
                <w:rFonts w:ascii="Calibri" w:hAnsi="Calibri" w:eastAsia="STHeiti"/>
                <w:b w:val="0"/>
                <w:color w:val="000000"/>
                <w:sz w:val="19"/>
              </w:rPr>
              <w:t>一般</w:t>
            </w:r>
          </w:p>
        </w:tc>
        <w:tc>
          <w:tcPr>
            <w:tcW w:type="dxa" w:w="3350"/>
          </w:tcPr>
          <w:p>
            <w:pPr>
              <w:spacing w:after="0" w:line="276" w:lineRule="auto"/>
            </w:pPr>
            <w:r>
              <w:rPr>
                <w:rFonts w:ascii="Calibri" w:hAnsi="Calibri" w:eastAsia="STHeiti"/>
                <w:b w:val="0"/>
                <w:color w:val="000000"/>
                <w:sz w:val="19"/>
              </w:rPr>
              <w:t>投入有限；客户影响可逆；无新增高敏合规事项；系统改造轻微。</w:t>
            </w:r>
          </w:p>
        </w:tc>
        <w:tc>
          <w:tcPr>
            <w:tcW w:type="dxa" w:w="2500"/>
          </w:tcPr>
          <w:p>
            <w:pPr>
              <w:spacing w:after="0" w:line="276" w:lineRule="auto"/>
            </w:pPr>
            <w:r>
              <w:rPr>
                <w:rFonts w:ascii="Calibri" w:hAnsi="Calibri" w:eastAsia="STHeiti"/>
                <w:b w:val="0"/>
                <w:color w:val="000000"/>
                <w:sz w:val="19"/>
              </w:rPr>
              <w:t>专业会签 → 中心总经理批准。</w:t>
            </w:r>
          </w:p>
        </w:tc>
        <w:tc>
          <w:tcPr>
            <w:tcW w:type="dxa" w:w="2410"/>
          </w:tcPr>
          <w:p>
            <w:pPr>
              <w:spacing w:after="0" w:line="276" w:lineRule="auto"/>
            </w:pPr>
            <w:r>
              <w:rPr>
                <w:rFonts w:ascii="Calibri" w:hAnsi="Calibri" w:eastAsia="STHeiti"/>
                <w:b w:val="0"/>
                <w:color w:val="000000"/>
                <w:sz w:val="19"/>
              </w:rPr>
              <w:t>限定范围、期限和样本；月度监控。</w:t>
            </w:r>
          </w:p>
        </w:tc>
      </w:tr>
      <w:tr>
        <w:trPr>
          <w:cantSplit/>
        </w:trPr>
        <w:tc>
          <w:tcPr>
            <w:tcW w:type="dxa" w:w="1100"/>
          </w:tcPr>
          <w:p>
            <w:pPr>
              <w:spacing w:after="0" w:line="276" w:lineRule="auto"/>
            </w:pPr>
            <w:r>
              <w:rPr>
                <w:rFonts w:ascii="Calibri" w:hAnsi="Calibri" w:eastAsia="STHeiti"/>
                <w:b w:val="0"/>
                <w:color w:val="000000"/>
                <w:sz w:val="19"/>
              </w:rPr>
              <w:t>重要</w:t>
            </w:r>
          </w:p>
        </w:tc>
        <w:tc>
          <w:tcPr>
            <w:tcW w:type="dxa" w:w="3350"/>
          </w:tcPr>
          <w:p>
            <w:pPr>
              <w:spacing w:after="0" w:line="276" w:lineRule="auto"/>
            </w:pPr>
            <w:r>
              <w:rPr>
                <w:rFonts w:ascii="Calibri" w:hAnsi="Calibri" w:eastAsia="STHeiti"/>
                <w:b w:val="0"/>
                <w:color w:val="000000"/>
                <w:sz w:val="19"/>
              </w:rPr>
              <w:t>涉及新渠道/新合作方式、明显价格或交付变化、较大客户影响或较复杂系统配置。</w:t>
            </w:r>
          </w:p>
        </w:tc>
        <w:tc>
          <w:tcPr>
            <w:tcW w:type="dxa" w:w="2500"/>
          </w:tcPr>
          <w:p>
            <w:pPr>
              <w:spacing w:after="0" w:line="276" w:lineRule="auto"/>
            </w:pPr>
            <w:r>
              <w:rPr>
                <w:rFonts w:ascii="Calibri" w:hAnsi="Calibri" w:eastAsia="STHeiti"/>
                <w:b w:val="0"/>
                <w:color w:val="000000"/>
                <w:sz w:val="19"/>
              </w:rPr>
              <w:t>专业会签 → 中心总经理批准。</w:t>
            </w:r>
          </w:p>
        </w:tc>
        <w:tc>
          <w:tcPr>
            <w:tcW w:type="dxa" w:w="2410"/>
          </w:tcPr>
          <w:p>
            <w:pPr>
              <w:spacing w:after="0" w:line="276" w:lineRule="auto"/>
            </w:pPr>
            <w:r>
              <w:rPr>
                <w:rFonts w:ascii="Calibri" w:hAnsi="Calibri" w:eastAsia="STHeiti"/>
                <w:b w:val="0"/>
                <w:color w:val="000000"/>
                <w:sz w:val="19"/>
              </w:rPr>
              <w:t>书面风险预案；设中期复盘；必要时向VPCM专题报告。</w:t>
            </w:r>
          </w:p>
        </w:tc>
      </w:tr>
      <w:tr>
        <w:trPr>
          <w:cantSplit/>
        </w:trPr>
        <w:tc>
          <w:tcPr>
            <w:tcW w:type="dxa" w:w="1100"/>
          </w:tcPr>
          <w:p>
            <w:pPr>
              <w:spacing w:after="0" w:line="276" w:lineRule="auto"/>
            </w:pPr>
            <w:r>
              <w:rPr>
                <w:rFonts w:ascii="Calibri" w:hAnsi="Calibri" w:eastAsia="STHeiti"/>
                <w:b w:val="0"/>
                <w:color w:val="000000"/>
                <w:sz w:val="19"/>
              </w:rPr>
              <w:t>重大</w:t>
            </w:r>
          </w:p>
        </w:tc>
        <w:tc>
          <w:tcPr>
            <w:tcW w:type="dxa" w:w="3350"/>
          </w:tcPr>
          <w:p>
            <w:pPr>
              <w:spacing w:after="0" w:line="276" w:lineRule="auto"/>
            </w:pPr>
            <w:r>
              <w:rPr>
                <w:rFonts w:ascii="Calibri" w:hAnsi="Calibri" w:eastAsia="STHeiti"/>
                <w:b w:val="0"/>
                <w:color w:val="000000"/>
                <w:sz w:val="19"/>
              </w:rPr>
              <w:t>重大投入、重大客户影响、重大合规敏感度、重大系统改造或可能显著改变商业模式。</w:t>
            </w:r>
          </w:p>
        </w:tc>
        <w:tc>
          <w:tcPr>
            <w:tcW w:type="dxa" w:w="2500"/>
          </w:tcPr>
          <w:p>
            <w:pPr>
              <w:spacing w:after="0" w:line="276" w:lineRule="auto"/>
            </w:pPr>
            <w:r>
              <w:rPr>
                <w:rFonts w:ascii="Calibri" w:hAnsi="Calibri" w:eastAsia="STHeiti"/>
                <w:b w:val="0"/>
                <w:color w:val="000000"/>
                <w:sz w:val="19"/>
              </w:rPr>
              <w:t>专业会签 → 中心总经理审核 → VPCM审阅。</w:t>
            </w:r>
          </w:p>
        </w:tc>
        <w:tc>
          <w:tcPr>
            <w:tcW w:type="dxa" w:w="2410"/>
          </w:tcPr>
          <w:p>
            <w:pPr>
              <w:spacing w:after="0" w:line="276" w:lineRule="auto"/>
            </w:pPr>
            <w:r>
              <w:rPr>
                <w:rFonts w:ascii="Calibri" w:hAnsi="Calibri" w:eastAsia="STHeiti"/>
                <w:b w:val="0"/>
                <w:color w:val="000000"/>
                <w:sz w:val="19"/>
              </w:rPr>
              <w:t>须明确试点边界、止损阈值、应急预案和结项决策条件。</w:t>
            </w:r>
          </w:p>
        </w:tc>
      </w:tr>
    </w:tbl>
    <w:p>
      <w:pPr>
        <w:spacing w:before="0" w:after="60" w:line="300" w:lineRule="auto"/>
      </w:pP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eastAsia="STHeiti"/>
                <w:b/>
                <w:color w:val="1F4D78"/>
                <w:sz w:val="20"/>
              </w:rPr>
              <w:t>风险分级原则：</w:t>
            </w:r>
            <w:r>
              <w:rPr>
                <w:rFonts w:ascii="Calibri" w:hAnsi="Calibri" w:eastAsia="STHeiti"/>
                <w:b w:val="0"/>
                <w:color w:val="000000"/>
                <w:sz w:val="20"/>
              </w:rPr>
              <w:t>未提供金额授权阈值时，按资金投入、客户影响、合规敏感度、系统改造程度综合判定；具体金额阈值以公司授权矩阵为准。</w:t>
            </w:r>
          </w:p>
        </w:tc>
      </w:tr>
    </w:tbl>
    <w:p>
      <w:pPr>
        <w:spacing w:before="0" w:after="80" w:line="300" w:lineRule="auto"/>
      </w:pPr>
    </w:p>
    <w:p>
      <w:pPr>
        <w:pStyle w:val="Heading2"/>
        <w:keepNext/>
      </w:pPr>
      <w:r>
        <w:rPr>
          <w:rFonts w:ascii="Calibri" w:hAnsi="Calibri" w:eastAsia="STHeiti"/>
          <w:b/>
          <w:color w:val="2E74B5"/>
          <w:sz w:val="26"/>
        </w:rPr>
        <w:t>4. 试点方案与运行管理</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550"/>
        <w:gridCol w:w="6810"/>
      </w:tblGrid>
      <w:tr>
        <w:trPr>
          <w:cantSplit/>
          <w:tblHeader w:val="true"/>
        </w:trPr>
        <w:tc>
          <w:tcPr>
            <w:tcW w:type="dxa" w:w="25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试点方案必备要素</w:t>
            </w:r>
          </w:p>
        </w:tc>
        <w:tc>
          <w:tcPr>
            <w:tcW w:type="dxa" w:w="68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具体要求</w:t>
            </w:r>
          </w:p>
        </w:tc>
      </w:tr>
      <w:tr>
        <w:trPr>
          <w:cantSplit/>
        </w:trPr>
        <w:tc>
          <w:tcPr>
            <w:tcW w:type="dxa" w:w="2550"/>
          </w:tcPr>
          <w:p>
            <w:pPr>
              <w:spacing w:after="0" w:line="276" w:lineRule="auto"/>
            </w:pPr>
            <w:r>
              <w:rPr>
                <w:rFonts w:ascii="Calibri" w:hAnsi="Calibri" w:eastAsia="STHeiti"/>
                <w:b w:val="0"/>
                <w:color w:val="000000"/>
                <w:sz w:val="19"/>
              </w:rPr>
              <w:t>试点目标</w:t>
            </w:r>
          </w:p>
        </w:tc>
        <w:tc>
          <w:tcPr>
            <w:tcW w:type="dxa" w:w="6810"/>
          </w:tcPr>
          <w:p>
            <w:pPr>
              <w:spacing w:after="0" w:line="276" w:lineRule="auto"/>
            </w:pPr>
            <w:r>
              <w:rPr>
                <w:rFonts w:ascii="Calibri" w:hAnsi="Calibri" w:eastAsia="STHeiti"/>
                <w:b w:val="0"/>
                <w:color w:val="000000"/>
                <w:sz w:val="19"/>
              </w:rPr>
              <w:t>明确待验证假设、目标客户、预期收入/转化/体验等量化指标及成功门槛。</w:t>
            </w:r>
          </w:p>
        </w:tc>
      </w:tr>
      <w:tr>
        <w:trPr>
          <w:cantSplit/>
        </w:trPr>
        <w:tc>
          <w:tcPr>
            <w:tcW w:type="dxa" w:w="2550"/>
          </w:tcPr>
          <w:p>
            <w:pPr>
              <w:spacing w:after="0" w:line="276" w:lineRule="auto"/>
            </w:pPr>
            <w:r>
              <w:rPr>
                <w:rFonts w:ascii="Calibri" w:hAnsi="Calibri" w:eastAsia="STHeiti"/>
                <w:b w:val="0"/>
                <w:color w:val="000000"/>
                <w:sz w:val="19"/>
              </w:rPr>
              <w:t>范围与期限</w:t>
            </w:r>
          </w:p>
        </w:tc>
        <w:tc>
          <w:tcPr>
            <w:tcW w:type="dxa" w:w="6810"/>
          </w:tcPr>
          <w:p>
            <w:pPr>
              <w:spacing w:after="0" w:line="276" w:lineRule="auto"/>
            </w:pPr>
            <w:r>
              <w:rPr>
                <w:rFonts w:ascii="Calibri" w:hAnsi="Calibri" w:eastAsia="STHeiti"/>
                <w:b w:val="0"/>
                <w:color w:val="000000"/>
                <w:sz w:val="19"/>
              </w:rPr>
              <w:t>限定渠道、城市/航线、产品、客群、订单量和试点起止日期；未经批准不得扩大。</w:t>
            </w:r>
          </w:p>
        </w:tc>
      </w:tr>
      <w:tr>
        <w:trPr>
          <w:cantSplit/>
        </w:trPr>
        <w:tc>
          <w:tcPr>
            <w:tcW w:type="dxa" w:w="2550"/>
          </w:tcPr>
          <w:p>
            <w:pPr>
              <w:spacing w:after="0" w:line="276" w:lineRule="auto"/>
            </w:pPr>
            <w:r>
              <w:rPr>
                <w:rFonts w:ascii="Calibri" w:hAnsi="Calibri" w:eastAsia="STHeiti"/>
                <w:b w:val="0"/>
                <w:color w:val="000000"/>
                <w:sz w:val="19"/>
              </w:rPr>
              <w:t>投入与收益</w:t>
            </w:r>
          </w:p>
        </w:tc>
        <w:tc>
          <w:tcPr>
            <w:tcW w:type="dxa" w:w="6810"/>
          </w:tcPr>
          <w:p>
            <w:pPr>
              <w:spacing w:after="0" w:line="276" w:lineRule="auto"/>
            </w:pPr>
            <w:r>
              <w:rPr>
                <w:rFonts w:ascii="Calibri" w:hAnsi="Calibri" w:eastAsia="STHeiti"/>
                <w:b w:val="0"/>
                <w:color w:val="000000"/>
                <w:sz w:val="19"/>
              </w:rPr>
              <w:t>说明预算、资源、供应商/合作方安排、成本、收益预测和资金风险。</w:t>
            </w:r>
          </w:p>
        </w:tc>
      </w:tr>
      <w:tr>
        <w:trPr>
          <w:cantSplit/>
        </w:trPr>
        <w:tc>
          <w:tcPr>
            <w:tcW w:type="dxa" w:w="2550"/>
          </w:tcPr>
          <w:p>
            <w:pPr>
              <w:spacing w:after="0" w:line="276" w:lineRule="auto"/>
            </w:pPr>
            <w:r>
              <w:rPr>
                <w:rFonts w:ascii="Calibri" w:hAnsi="Calibri" w:eastAsia="STHeiti"/>
                <w:b w:val="0"/>
                <w:color w:val="000000"/>
                <w:sz w:val="19"/>
              </w:rPr>
              <w:t>风险控制</w:t>
            </w:r>
          </w:p>
        </w:tc>
        <w:tc>
          <w:tcPr>
            <w:tcW w:type="dxa" w:w="6810"/>
          </w:tcPr>
          <w:p>
            <w:pPr>
              <w:spacing w:after="0" w:line="276" w:lineRule="auto"/>
            </w:pPr>
            <w:r>
              <w:rPr>
                <w:rFonts w:ascii="Calibri" w:hAnsi="Calibri" w:eastAsia="STHeiti"/>
                <w:b w:val="0"/>
                <w:color w:val="000000"/>
                <w:sz w:val="19"/>
              </w:rPr>
              <w:t>列明客户权益、合规、数据、系统、履约、声誉风险，明确预防、监控、应急和止损措施。</w:t>
            </w:r>
          </w:p>
        </w:tc>
      </w:tr>
      <w:tr>
        <w:trPr>
          <w:cantSplit/>
        </w:trPr>
        <w:tc>
          <w:tcPr>
            <w:tcW w:type="dxa" w:w="2550"/>
          </w:tcPr>
          <w:p>
            <w:pPr>
              <w:spacing w:after="0" w:line="276" w:lineRule="auto"/>
            </w:pPr>
            <w:r>
              <w:rPr>
                <w:rFonts w:ascii="Calibri" w:hAnsi="Calibri" w:eastAsia="STHeiti"/>
                <w:b w:val="0"/>
                <w:color w:val="000000"/>
                <w:sz w:val="19"/>
              </w:rPr>
              <w:t>客户告知</w:t>
            </w:r>
          </w:p>
        </w:tc>
        <w:tc>
          <w:tcPr>
            <w:tcW w:type="dxa" w:w="6810"/>
          </w:tcPr>
          <w:p>
            <w:pPr>
              <w:spacing w:after="0" w:line="276" w:lineRule="auto"/>
            </w:pPr>
            <w:r>
              <w:rPr>
                <w:rFonts w:ascii="Calibri" w:hAnsi="Calibri" w:eastAsia="STHeiti"/>
                <w:b w:val="0"/>
                <w:color w:val="000000"/>
                <w:sz w:val="19"/>
              </w:rPr>
              <w:t>对试点特性、价格、服务边界、规则变化及退出安排进行充分、准确告知。</w:t>
            </w:r>
          </w:p>
        </w:tc>
      </w:tr>
      <w:tr>
        <w:trPr>
          <w:cantSplit/>
        </w:trPr>
        <w:tc>
          <w:tcPr>
            <w:tcW w:type="dxa" w:w="2550"/>
          </w:tcPr>
          <w:p>
            <w:pPr>
              <w:spacing w:after="0" w:line="276" w:lineRule="auto"/>
            </w:pPr>
            <w:r>
              <w:rPr>
                <w:rFonts w:ascii="Calibri" w:hAnsi="Calibri" w:eastAsia="STHeiti"/>
                <w:b w:val="0"/>
                <w:color w:val="000000"/>
                <w:sz w:val="19"/>
              </w:rPr>
              <w:t>数据与评估</w:t>
            </w:r>
          </w:p>
        </w:tc>
        <w:tc>
          <w:tcPr>
            <w:tcW w:type="dxa" w:w="6810"/>
          </w:tcPr>
          <w:p>
            <w:pPr>
              <w:spacing w:after="0" w:line="276" w:lineRule="auto"/>
            </w:pPr>
            <w:r>
              <w:rPr>
                <w:rFonts w:ascii="Calibri" w:hAnsi="Calibri" w:eastAsia="STHeiti"/>
                <w:b w:val="0"/>
                <w:color w:val="000000"/>
                <w:sz w:val="19"/>
              </w:rPr>
              <w:t>明确数据来源、口径、监控频率、中期检查点、结项报告及归档要求。</w:t>
            </w:r>
          </w:p>
        </w:tc>
      </w:tr>
    </w:tbl>
    <w:p>
      <w:pPr>
        <w:spacing w:before="0" w:after="60" w:line="300" w:lineRule="auto"/>
      </w:pPr>
    </w:p>
    <w:p>
      <w:pPr>
        <w:keepNext/>
        <w:spacing w:before="80" w:after="80" w:line="300" w:lineRule="auto"/>
      </w:pPr>
      <w:r>
        <w:rPr>
          <w:rFonts w:ascii="Calibri" w:hAnsi="Calibri" w:eastAsia="STHeiti"/>
          <w:b/>
          <w:color w:val="1F4D78"/>
          <w:sz w:val="21"/>
        </w:rPr>
        <w:t>创新试点完整流程</w:t>
      </w:r>
    </w:p>
    <w:p>
      <w:pPr>
        <w:spacing w:after="140" w:line="264" w:lineRule="auto"/>
        <w:jc w:val="center"/>
      </w:pPr>
      <w:r>
        <w:rPr>
          <w:rFonts w:ascii="Calibri" w:hAnsi="Calibri" w:eastAsia="STHeiti"/>
          <w:b/>
          <w:color w:val="FFFFFF"/>
          <w:sz w:val="19"/>
          <w:shd w:fill="2E74B5"/>
        </w:rPr>
        <w:t>机会提出</w:t>
      </w:r>
      <w:r>
        <w:rPr>
          <w:rFonts w:ascii="Calibri" w:hAnsi="Calibri" w:eastAsia="STHeiti"/>
          <w:b/>
          <w:color w:val="5B6573"/>
          <w:sz w:val="18"/>
        </w:rPr>
        <w:t xml:space="preserve">  →  </w:t>
      </w:r>
      <w:r>
        <w:rPr>
          <w:rFonts w:ascii="Calibri" w:hAnsi="Calibri" w:eastAsia="STHeiti"/>
          <w:b/>
          <w:color w:val="FFFFFF"/>
          <w:sz w:val="19"/>
          <w:shd w:fill="1F4D78"/>
        </w:rPr>
        <w:t>概念筛选</w:t>
      </w:r>
      <w:r>
        <w:rPr>
          <w:rFonts w:ascii="Calibri" w:hAnsi="Calibri" w:eastAsia="STHeiti"/>
          <w:b/>
          <w:color w:val="5B6573"/>
          <w:sz w:val="18"/>
        </w:rPr>
        <w:t xml:space="preserve">  →  </w:t>
      </w:r>
      <w:r>
        <w:rPr>
          <w:rFonts w:ascii="Calibri" w:hAnsi="Calibri" w:eastAsia="STHeiti"/>
          <w:b/>
          <w:color w:val="FFFFFF"/>
          <w:sz w:val="19"/>
          <w:shd w:fill="2E74B5"/>
        </w:rPr>
        <w:t>可行性/风险评估</w:t>
      </w:r>
      <w:r>
        <w:rPr>
          <w:rFonts w:ascii="Calibri" w:hAnsi="Calibri" w:eastAsia="STHeiti"/>
          <w:b/>
          <w:color w:val="5B6573"/>
          <w:sz w:val="18"/>
        </w:rPr>
        <w:t xml:space="preserve">  →  </w:t>
      </w:r>
      <w:r>
        <w:rPr>
          <w:rFonts w:ascii="Calibri" w:hAnsi="Calibri" w:eastAsia="STHeiti"/>
          <w:b/>
          <w:color w:val="FFFFFF"/>
          <w:sz w:val="19"/>
          <w:shd w:fill="1F4D78"/>
        </w:rPr>
        <w:t>分级审批</w:t>
      </w:r>
      <w:r>
        <w:rPr>
          <w:rFonts w:ascii="Calibri" w:hAnsi="Calibri" w:eastAsia="STHeiti"/>
          <w:b/>
          <w:color w:val="5B6573"/>
          <w:sz w:val="18"/>
        </w:rPr>
        <w:t xml:space="preserve">  →  </w:t>
      </w:r>
      <w:r>
        <w:rPr>
          <w:rFonts w:ascii="Calibri" w:hAnsi="Calibri" w:eastAsia="STHeiti"/>
          <w:b/>
          <w:color w:val="FFFFFF"/>
          <w:sz w:val="19"/>
          <w:shd w:fill="2E74B5"/>
        </w:rPr>
        <w:t>限定范围试运行</w:t>
      </w:r>
      <w:r>
        <w:rPr>
          <w:rFonts w:ascii="Calibri" w:hAnsi="Calibri" w:eastAsia="STHeiti"/>
          <w:b/>
          <w:color w:val="5B6573"/>
          <w:sz w:val="18"/>
        </w:rPr>
        <w:t xml:space="preserve">  →  </w:t>
      </w:r>
      <w:r>
        <w:rPr>
          <w:rFonts w:ascii="Calibri" w:hAnsi="Calibri" w:eastAsia="STHeiti"/>
          <w:b/>
          <w:color w:val="FFFFFF"/>
          <w:sz w:val="19"/>
          <w:shd w:fill="1F4D78"/>
        </w:rPr>
        <w:t>中期复盘</w:t>
      </w:r>
      <w:r>
        <w:rPr>
          <w:rFonts w:ascii="Calibri" w:hAnsi="Calibri" w:eastAsia="STHeiti"/>
          <w:b/>
          <w:color w:val="5B6573"/>
          <w:sz w:val="18"/>
        </w:rPr>
        <w:t xml:space="preserve">  →  </w:t>
      </w:r>
      <w:r>
        <w:rPr>
          <w:rFonts w:ascii="Calibri" w:hAnsi="Calibri" w:eastAsia="STHeiti"/>
          <w:b/>
          <w:color w:val="FFFFFF"/>
          <w:sz w:val="19"/>
          <w:shd w:fill="2E74B5"/>
        </w:rPr>
        <w:t>结项评估</w:t>
      </w:r>
      <w:r>
        <w:rPr>
          <w:rFonts w:ascii="Calibri" w:hAnsi="Calibri" w:eastAsia="STHeiti"/>
          <w:b/>
          <w:color w:val="5B6573"/>
          <w:sz w:val="18"/>
        </w:rPr>
        <w:t xml:space="preserve">  →  </w:t>
      </w:r>
      <w:r>
        <w:rPr>
          <w:rFonts w:ascii="Calibri" w:hAnsi="Calibri" w:eastAsia="STHeiti"/>
          <w:b/>
          <w:color w:val="FFFFFF"/>
          <w:sz w:val="19"/>
          <w:shd w:fill="1F4D78"/>
        </w:rPr>
        <w:t>推广/优化/止损</w:t>
      </w:r>
    </w:p>
    <w:p>
      <w:pPr>
        <w:pStyle w:val="Heading2"/>
        <w:keepNext/>
      </w:pPr>
      <w:r>
        <w:rPr>
          <w:rFonts w:ascii="Calibri" w:hAnsi="Calibri" w:eastAsia="STHeiti"/>
          <w:b/>
          <w:color w:val="2E74B5"/>
          <w:sz w:val="26"/>
        </w:rPr>
        <w:t>5. 中期复盘、结项评估与决策</w:t>
      </w:r>
    </w:p>
    <w:p>
      <w:pPr>
        <w:spacing w:before="0" w:after="120" w:line="300" w:lineRule="auto"/>
      </w:pPr>
      <w:r>
        <w:rPr>
          <w:rFonts w:ascii="Calibri" w:hAnsi="Calibri" w:eastAsia="STHeiti"/>
          <w:b w:val="0"/>
          <w:color w:val="000000"/>
          <w:sz w:val="21"/>
        </w:rPr>
        <w:t>试点应按批准方案执行。产品负责人应持续跟踪业务、财务、客户体验、履约和风险指标；触发止损阈值、出现重大客户权益损害、重大合规/数据/系统事件或供应商无法履约时，应立即暂停试点并报告中心总经理。</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500"/>
        <w:gridCol w:w="4000"/>
        <w:gridCol w:w="3860"/>
      </w:tblGrid>
      <w:tr>
        <w:trPr>
          <w:cantSplit/>
          <w:tblHeader w:val="true"/>
        </w:trPr>
        <w:tc>
          <w:tcPr>
            <w:tcW w:type="dxa" w:w="15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结论</w:t>
            </w:r>
          </w:p>
        </w:tc>
        <w:tc>
          <w:tcPr>
            <w:tcW w:type="dxa" w:w="40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适用情形</w:t>
            </w:r>
          </w:p>
        </w:tc>
        <w:tc>
          <w:tcPr>
            <w:tcW w:type="dxa" w:w="38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后续动作</w:t>
            </w:r>
          </w:p>
        </w:tc>
      </w:tr>
      <w:tr>
        <w:trPr>
          <w:cantSplit/>
        </w:trPr>
        <w:tc>
          <w:tcPr>
            <w:tcW w:type="dxa" w:w="1500"/>
          </w:tcPr>
          <w:p>
            <w:pPr>
              <w:spacing w:after="0" w:line="276" w:lineRule="auto"/>
            </w:pPr>
            <w:r>
              <w:rPr>
                <w:rFonts w:ascii="Calibri" w:hAnsi="Calibri" w:eastAsia="STHeiti"/>
                <w:b w:val="0"/>
                <w:color w:val="000000"/>
                <w:sz w:val="19"/>
              </w:rPr>
              <w:t>推广复制</w:t>
            </w:r>
          </w:p>
        </w:tc>
        <w:tc>
          <w:tcPr>
            <w:tcW w:type="dxa" w:w="4000"/>
          </w:tcPr>
          <w:p>
            <w:pPr>
              <w:spacing w:after="0" w:line="276" w:lineRule="auto"/>
            </w:pPr>
            <w:r>
              <w:rPr>
                <w:rFonts w:ascii="Calibri" w:hAnsi="Calibri" w:eastAsia="STHeiti"/>
                <w:b w:val="0"/>
                <w:color w:val="000000"/>
                <w:sz w:val="19"/>
              </w:rPr>
              <w:t>达到或超过成功标准，风险可控，资源和系统具备扩展条件。</w:t>
            </w:r>
          </w:p>
        </w:tc>
        <w:tc>
          <w:tcPr>
            <w:tcW w:type="dxa" w:w="3860"/>
          </w:tcPr>
          <w:p>
            <w:pPr>
              <w:spacing w:after="0" w:line="276" w:lineRule="auto"/>
            </w:pPr>
            <w:r>
              <w:rPr>
                <w:rFonts w:ascii="Calibri" w:hAnsi="Calibri" w:eastAsia="STHeiti"/>
                <w:b w:val="0"/>
                <w:color w:val="000000"/>
                <w:sz w:val="19"/>
              </w:rPr>
              <w:t>提交推广计划、正式产品化方案及必要审批；纳入常规产品生命周期管理。</w:t>
            </w:r>
          </w:p>
        </w:tc>
      </w:tr>
      <w:tr>
        <w:trPr>
          <w:cantSplit/>
        </w:trPr>
        <w:tc>
          <w:tcPr>
            <w:tcW w:type="dxa" w:w="1500"/>
          </w:tcPr>
          <w:p>
            <w:pPr>
              <w:spacing w:after="0" w:line="276" w:lineRule="auto"/>
            </w:pPr>
            <w:r>
              <w:rPr>
                <w:rFonts w:ascii="Calibri" w:hAnsi="Calibri" w:eastAsia="STHeiti"/>
                <w:b w:val="0"/>
                <w:color w:val="000000"/>
                <w:sz w:val="19"/>
              </w:rPr>
              <w:t>优化延试</w:t>
            </w:r>
          </w:p>
        </w:tc>
        <w:tc>
          <w:tcPr>
            <w:tcW w:type="dxa" w:w="4000"/>
          </w:tcPr>
          <w:p>
            <w:pPr>
              <w:spacing w:after="0" w:line="276" w:lineRule="auto"/>
            </w:pPr>
            <w:r>
              <w:rPr>
                <w:rFonts w:ascii="Calibri" w:hAnsi="Calibri" w:eastAsia="STHeiti"/>
                <w:b w:val="0"/>
                <w:color w:val="000000"/>
                <w:sz w:val="19"/>
              </w:rPr>
              <w:t>验证结果有价值但尚未满足门槛，且可通过明确调整解决。</w:t>
            </w:r>
          </w:p>
        </w:tc>
        <w:tc>
          <w:tcPr>
            <w:tcW w:type="dxa" w:w="3860"/>
          </w:tcPr>
          <w:p>
            <w:pPr>
              <w:spacing w:after="0" w:line="276" w:lineRule="auto"/>
            </w:pPr>
            <w:r>
              <w:rPr>
                <w:rFonts w:ascii="Calibri" w:hAnsi="Calibri" w:eastAsia="STHeiti"/>
                <w:b w:val="0"/>
                <w:color w:val="000000"/>
                <w:sz w:val="19"/>
              </w:rPr>
              <w:t>说明调整项、延试范围/期限和新增风险；按原等级重新确认或审批。</w:t>
            </w:r>
          </w:p>
        </w:tc>
      </w:tr>
      <w:tr>
        <w:trPr>
          <w:cantSplit/>
        </w:trPr>
        <w:tc>
          <w:tcPr>
            <w:tcW w:type="dxa" w:w="1500"/>
          </w:tcPr>
          <w:p>
            <w:pPr>
              <w:spacing w:after="0" w:line="276" w:lineRule="auto"/>
            </w:pPr>
            <w:r>
              <w:rPr>
                <w:rFonts w:ascii="Calibri" w:hAnsi="Calibri" w:eastAsia="STHeiti"/>
                <w:b w:val="0"/>
                <w:color w:val="000000"/>
                <w:sz w:val="19"/>
              </w:rPr>
              <w:t>止损退出</w:t>
            </w:r>
          </w:p>
        </w:tc>
        <w:tc>
          <w:tcPr>
            <w:tcW w:type="dxa" w:w="4000"/>
          </w:tcPr>
          <w:p>
            <w:pPr>
              <w:spacing w:after="0" w:line="276" w:lineRule="auto"/>
            </w:pPr>
            <w:r>
              <w:rPr>
                <w:rFonts w:ascii="Calibri" w:hAnsi="Calibri" w:eastAsia="STHeiti"/>
                <w:b w:val="0"/>
                <w:color w:val="000000"/>
                <w:sz w:val="19"/>
              </w:rPr>
              <w:t>未达到核心目标、风险不可接受、资源不具备或外部条件变化。</w:t>
            </w:r>
          </w:p>
        </w:tc>
        <w:tc>
          <w:tcPr>
            <w:tcW w:type="dxa" w:w="3860"/>
          </w:tcPr>
          <w:p>
            <w:pPr>
              <w:spacing w:after="0" w:line="276" w:lineRule="auto"/>
            </w:pPr>
            <w:r>
              <w:rPr>
                <w:rFonts w:ascii="Calibri" w:hAnsi="Calibri" w:eastAsia="STHeiti"/>
                <w:b w:val="0"/>
                <w:color w:val="000000"/>
                <w:sz w:val="19"/>
              </w:rPr>
              <w:t>停止新增试点、处置存量客户和合作方事项、结清费用、复盘归档。</w:t>
            </w:r>
          </w:p>
        </w:tc>
      </w:tr>
    </w:tbl>
    <w:p>
      <w:pPr>
        <w:spacing w:before="0" w:after="60" w:line="300" w:lineRule="auto"/>
      </w:pPr>
    </w:p>
    <w:p>
      <w:pPr>
        <w:pStyle w:val="Heading2"/>
        <w:keepNext/>
      </w:pPr>
      <w:r>
        <w:rPr>
          <w:rFonts w:ascii="Calibri" w:hAnsi="Calibri" w:eastAsia="STHeiti"/>
          <w:b/>
          <w:color w:val="2E74B5"/>
          <w:sz w:val="26"/>
        </w:rPr>
        <w:t>6. 创新知识沉淀</w:t>
      </w:r>
    </w:p>
    <w:p>
      <w:pPr>
        <w:spacing w:before="0" w:after="120" w:line="300" w:lineRule="auto"/>
      </w:pPr>
      <w:r>
        <w:rPr>
          <w:rFonts w:ascii="Calibri" w:hAnsi="Calibri" w:eastAsia="STHeiti"/>
          <w:b w:val="0"/>
          <w:color w:val="000000"/>
          <w:sz w:val="21"/>
        </w:rPr>
        <w:t>无论试点成功或失败，产品负责人均应在结项后十个工作日内提交《创新试点中期复盘及结项评估报告》，沉淀客户洞察、商业逻辑、指标结果、风险事件、成本收益、可复制要素及不再尝试的做法。重要和重大试点评估结论提报VPCM审阅。</w:t>
      </w:r>
    </w:p>
    <w:p>
      <w:pPr>
        <w:pStyle w:val="Heading1"/>
        <w:keepNext/>
      </w:pPr>
      <w:r>
        <w:rPr>
          <w:rFonts w:ascii="Calibri" w:hAnsi="Calibri" w:eastAsia="STHeiti"/>
          <w:b/>
          <w:color w:val="2E74B5"/>
          <w:sz w:val="32"/>
        </w:rPr>
        <w:t>十、审批、监督、档案与问责</w:t>
      </w:r>
    </w:p>
    <w:p>
      <w:pPr>
        <w:pStyle w:val="Heading2"/>
        <w:keepNext/>
      </w:pPr>
      <w:r>
        <w:rPr>
          <w:rFonts w:ascii="Calibri" w:hAnsi="Calibri" w:eastAsia="STHeiti"/>
          <w:b/>
          <w:color w:val="2E74B5"/>
          <w:sz w:val="26"/>
        </w:rPr>
        <w:t>1. 审批与例外管理</w:t>
      </w:r>
    </w:p>
    <w:p>
      <w:pPr>
        <w:spacing w:before="0" w:after="120" w:line="300" w:lineRule="auto"/>
      </w:pPr>
      <w:r>
        <w:rPr>
          <w:rFonts w:ascii="Calibri" w:hAnsi="Calibri" w:eastAsia="STHeiti"/>
          <w:b w:val="0"/>
          <w:color w:val="000000"/>
          <w:sz w:val="21"/>
        </w:rPr>
        <w:t>审批人应在授权范围内作出决定。任何越权审批、先上线后补审批、虚假会签、绕过专业控制或以试点名义规避制度的行为均不被允许。因紧急客户权益或安全事件需要立即采取措施的，应先行止损和保护客户，再按公司应急程序补充报告与审批。</w:t>
      </w:r>
    </w:p>
    <w:p>
      <w:pPr>
        <w:pStyle w:val="Heading2"/>
        <w:keepNext/>
      </w:pPr>
      <w:r>
        <w:rPr>
          <w:rFonts w:ascii="Calibri" w:hAnsi="Calibri" w:eastAsia="STHeiti"/>
          <w:b/>
          <w:color w:val="2E74B5"/>
          <w:sz w:val="26"/>
        </w:rPr>
        <w:t>2. 档案管理</w:t>
      </w:r>
    </w:p>
    <w:p>
      <w:pPr>
        <w:spacing w:before="0" w:after="120" w:line="300" w:lineRule="auto"/>
      </w:pPr>
      <w:r>
        <w:rPr>
          <w:rFonts w:ascii="Calibri" w:hAnsi="Calibri" w:eastAsia="STHeiti"/>
          <w:b w:val="0"/>
          <w:color w:val="000000"/>
          <w:sz w:val="21"/>
        </w:rPr>
        <w:t>产品负责人应按产品编号归档立项、会签、合同/确认文件、定价测算、测试验收、上线通知、台账、经营复盘、客户反馈、风险处置、变更/下线和创新试点资料。档案保存期限按公司档案管理制度执行；涉及客户数据的，应按数据保护要求保存和访问。</w:t>
      </w:r>
    </w:p>
    <w:p>
      <w:pPr>
        <w:pStyle w:val="Heading2"/>
        <w:keepNext/>
      </w:pPr>
      <w:r>
        <w:rPr>
          <w:rFonts w:ascii="Calibri" w:hAnsi="Calibri" w:eastAsia="STHeiti"/>
          <w:b/>
          <w:color w:val="2E74B5"/>
          <w:sz w:val="26"/>
        </w:rPr>
        <w:t>3. 监督与持续改进</w:t>
      </w:r>
    </w:p>
    <w:p>
      <w:pPr>
        <w:spacing w:before="0" w:after="120" w:line="300" w:lineRule="auto"/>
      </w:pPr>
      <w:r>
        <w:rPr>
          <w:rFonts w:ascii="Calibri" w:hAnsi="Calibri" w:eastAsia="STHeiti"/>
          <w:b w:val="0"/>
          <w:color w:val="000000"/>
          <w:sz w:val="21"/>
        </w:rPr>
        <w:t>数字化营销服务中心应至少每年对产品台账完整性、审批合规性、经营复盘执行、客户投诉闭环及创新试点结项情况开展一次自查。发现问题的，应制定整改措施、责任人和完成期限；重大问题及时报告中心总经理并按需要提报VPCM。</w:t>
      </w:r>
    </w:p>
    <w:p>
      <w:pPr>
        <w:pStyle w:val="Heading2"/>
        <w:keepNext/>
      </w:pPr>
      <w:r>
        <w:rPr>
          <w:rFonts w:ascii="Calibri" w:hAnsi="Calibri" w:eastAsia="STHeiti"/>
          <w:b/>
          <w:color w:val="2E74B5"/>
          <w:sz w:val="26"/>
        </w:rPr>
        <w:t>4. 问责</w:t>
      </w:r>
    </w:p>
    <w:p>
      <w:pPr>
        <w:spacing w:before="0" w:after="120" w:line="300" w:lineRule="auto"/>
      </w:pPr>
      <w:r>
        <w:rPr>
          <w:rFonts w:ascii="Calibri" w:hAnsi="Calibri" w:eastAsia="STHeiti"/>
          <w:b w:val="0"/>
          <w:color w:val="000000"/>
          <w:sz w:val="21"/>
        </w:rPr>
        <w:t>对违反本程序造成客户权益损害、经济损失、合规风险或声誉影响的，按公司相关制度追究责任；涉嫌违法违规的，移交有权部门处理。</w:t>
      </w:r>
    </w:p>
    <w:p>
      <w:pPr>
        <w:pStyle w:val="Heading1"/>
        <w:keepNext/>
      </w:pPr>
      <w:r>
        <w:rPr>
          <w:rFonts w:ascii="Calibri" w:hAnsi="Calibri" w:eastAsia="STHeiti"/>
          <w:b/>
          <w:color w:val="2E74B5"/>
          <w:sz w:val="32"/>
        </w:rPr>
        <w:t>十一、附则</w:t>
      </w:r>
    </w:p>
    <w:p>
      <w:pPr>
        <w:spacing w:before="0" w:after="120" w:line="300" w:lineRule="auto"/>
      </w:pPr>
      <w:r>
        <w:rPr>
          <w:rFonts w:ascii="Calibri" w:hAnsi="Calibri" w:eastAsia="STHeiti"/>
          <w:b w:val="0"/>
          <w:color w:val="000000"/>
          <w:sz w:val="21"/>
        </w:rPr>
        <w:t>本程序由数字化营销服务中心负责解释、修订和组织实施。本程序自批准之日起生效。未尽事宜按照公司现行授权、财务、合同、采购、信息安全、客户服务和档案管理制度执行。</w:t>
      </w:r>
    </w:p>
    <w:p>
      <w:r>
        <w:br w:type="page"/>
      </w:r>
    </w:p>
    <w:p>
      <w:pPr>
        <w:pStyle w:val="Heading1"/>
        <w:keepNext/>
      </w:pPr>
      <w:r>
        <w:rPr>
          <w:rFonts w:ascii="Calibri" w:hAnsi="Calibri" w:eastAsia="STHeiti"/>
          <w:b/>
          <w:color w:val="2E74B5"/>
          <w:sz w:val="32"/>
        </w:rPr>
        <w:t>附表</w:t>
      </w:r>
    </w:p>
    <w:p>
      <w:pPr>
        <w:spacing w:before="0" w:after="240" w:line="300" w:lineRule="auto"/>
      </w:pPr>
      <w:r>
        <w:rPr>
          <w:rFonts w:ascii="Calibri" w:hAnsi="Calibri" w:eastAsia="STHeiti"/>
          <w:b w:val="0"/>
          <w:color w:val="000000"/>
          <w:sz w:val="21"/>
        </w:rPr>
        <w:t>以下表单可作为流程执行的标准模板。电子流程或系统表单应至少包含相同字段、审批意见和留痕信息。</w:t>
      </w:r>
    </w:p>
    <w:p>
      <w:pPr>
        <w:pStyle w:val="Heading2"/>
        <w:keepNext/>
      </w:pPr>
      <w:r>
        <w:rPr>
          <w:rFonts w:ascii="Calibri" w:hAnsi="Calibri" w:eastAsia="STHeiti"/>
          <w:b/>
          <w:color w:val="2E74B5"/>
          <w:sz w:val="26"/>
        </w:rPr>
        <w:t>附表1  新产品立项申请书</w:t>
      </w:r>
    </w:p>
    <w:p>
      <w:pPr>
        <w:spacing w:before="0" w:after="120" w:line="300" w:lineRule="auto"/>
      </w:pPr>
      <w:r>
        <w:rPr>
          <w:rFonts w:ascii="Calibri" w:hAnsi="Calibri" w:eastAsia="STHeiti"/>
          <w:b w:val="0"/>
          <w:color w:val="5B6573"/>
          <w:sz w:val="20"/>
        </w:rPr>
        <w:t>用途：提出澳航假期新产品或产品线立项。</w:t>
      </w: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c>
          <w:tcPr>
            <w:tcW w:type="dxa" w:w="2100"/>
            <w:shd w:fill="F2F4F7"/>
          </w:tcPr>
          <w:p>
            <w:pPr>
              <w:spacing w:after="0"/>
            </w:pPr>
            <w:r>
              <w:rPr>
                <w:rFonts w:ascii="Calibri" w:hAnsi="Calibri" w:eastAsia="STHeiti"/>
                <w:b/>
                <w:color w:val="0B2545"/>
                <w:sz w:val="19"/>
              </w:rPr>
              <w:t>产品基本信息</w:t>
            </w:r>
          </w:p>
        </w:tc>
        <w:tc>
          <w:tcPr>
            <w:tcW w:type="dxa" w:w="7260"/>
          </w:tcPr>
          <w:p>
            <w:pPr>
              <w:spacing w:after="0"/>
            </w:pPr>
            <w:r>
              <w:rPr>
                <w:rFonts w:ascii="Calibri" w:hAnsi="Calibri" w:eastAsia="STHeiti"/>
                <w:b w:val="0"/>
                <w:color w:val="000000"/>
                <w:sz w:val="19"/>
              </w:rPr>
              <w:t>产品名称：__________  产品分类：__________  拟上线日期：__________  产品负责人：__________</w:t>
            </w:r>
          </w:p>
        </w:tc>
      </w:tr>
      <w:tr>
        <w:tc>
          <w:tcPr>
            <w:tcW w:type="dxa" w:w="2100"/>
            <w:shd w:fill="F2F4F7"/>
          </w:tcPr>
          <w:p>
            <w:pPr>
              <w:spacing w:after="0"/>
            </w:pPr>
            <w:r>
              <w:rPr>
                <w:rFonts w:ascii="Calibri" w:hAnsi="Calibri" w:eastAsia="STHeiti"/>
                <w:b/>
                <w:color w:val="0B2545"/>
                <w:sz w:val="19"/>
              </w:rPr>
              <w:t>立项背景与客户需求</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目标客群与销售渠道</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拟组合内容及供应商</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预期价值与核心目标</w:t>
            </w:r>
          </w:p>
        </w:tc>
        <w:tc>
          <w:tcPr>
            <w:tcW w:type="dxa" w:w="7260"/>
          </w:tcPr>
          <w:p>
            <w:pPr>
              <w:spacing w:after="0"/>
            </w:pPr>
            <w:r>
              <w:rPr>
                <w:rFonts w:ascii="Calibri" w:hAnsi="Calibri" w:eastAsia="STHeiti"/>
                <w:b w:val="0"/>
                <w:color w:val="000000"/>
                <w:sz w:val="19"/>
              </w:rPr>
              <w:t>预计销售额：______  预计毛利/贡献利润：______  转化/体验目标：______</w:t>
            </w:r>
          </w:p>
        </w:tc>
      </w:tr>
      <w:tr>
        <w:tc>
          <w:tcPr>
            <w:tcW w:type="dxa" w:w="2100"/>
            <w:shd w:fill="F2F4F7"/>
          </w:tcPr>
          <w:p>
            <w:pPr>
              <w:spacing w:after="0"/>
            </w:pPr>
            <w:r>
              <w:rPr>
                <w:rFonts w:ascii="Calibri" w:hAnsi="Calibri" w:eastAsia="STHeiti"/>
                <w:b/>
                <w:color w:val="0B2545"/>
                <w:sz w:val="19"/>
              </w:rPr>
              <w:t>初步风险及需会签部门</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申请意见</w:t>
            </w:r>
          </w:p>
        </w:tc>
        <w:tc>
          <w:tcPr>
            <w:tcW w:type="dxa" w:w="7260"/>
          </w:tcPr>
          <w:p>
            <w:pPr>
              <w:spacing w:after="0"/>
            </w:pPr>
            <w:r>
              <w:rPr>
                <w:rFonts w:ascii="Calibri" w:hAnsi="Calibri" w:eastAsia="STHeiti"/>
                <w:b w:val="0"/>
                <w:color w:val="000000"/>
                <w:sz w:val="19"/>
              </w:rPr>
              <w:t>申请人：__________  日期：__________</w:t>
            </w:r>
          </w:p>
        </w:tc>
      </w:tr>
    </w:tbl>
    <w:p>
      <w:pPr>
        <w:spacing w:before="0" w:after="60" w:line="300" w:lineRule="auto"/>
      </w:pP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800"/>
        <w:gridCol w:w="5100"/>
        <w:gridCol w:w="2460"/>
      </w:tblGrid>
      <w:tr>
        <w:trPr>
          <w:cantSplit/>
          <w:tblHeader w:val="true"/>
        </w:trPr>
        <w:tc>
          <w:tcPr>
            <w:tcW w:type="dxa" w:w="18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会签部门</w:t>
            </w:r>
          </w:p>
        </w:tc>
        <w:tc>
          <w:tcPr>
            <w:tcW w:type="dxa" w:w="51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意见（同意/附条件同意/不同意）</w:t>
            </w:r>
          </w:p>
        </w:tc>
        <w:tc>
          <w:tcPr>
            <w:tcW w:type="dxa" w:w="24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签名/日期</w:t>
            </w:r>
          </w:p>
        </w:tc>
      </w:tr>
      <w:tr>
        <w:trPr>
          <w:cantSplit/>
        </w:trPr>
        <w:tc>
          <w:tcPr>
            <w:tcW w:type="dxa" w:w="1800"/>
          </w:tcPr>
          <w:p>
            <w:pPr>
              <w:spacing w:after="0" w:line="276" w:lineRule="auto"/>
            </w:pPr>
            <w:r>
              <w:rPr>
                <w:rFonts w:ascii="Calibri" w:hAnsi="Calibri" w:eastAsia="STHeiti"/>
                <w:b w:val="0"/>
                <w:color w:val="000000"/>
                <w:sz w:val="19"/>
              </w:rPr>
              <w:t>销售/渠道</w:t>
            </w:r>
          </w:p>
        </w:tc>
        <w:tc>
          <w:tcPr>
            <w:tcW w:type="dxa" w:w="51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1800"/>
          </w:tcPr>
          <w:p>
            <w:pPr>
              <w:spacing w:after="0" w:line="276" w:lineRule="auto"/>
            </w:pPr>
            <w:r>
              <w:rPr>
                <w:rFonts w:ascii="Calibri" w:hAnsi="Calibri" w:eastAsia="STHeiti"/>
                <w:b w:val="0"/>
                <w:color w:val="000000"/>
                <w:sz w:val="19"/>
              </w:rPr>
              <w:t>收益/财务</w:t>
            </w:r>
          </w:p>
        </w:tc>
        <w:tc>
          <w:tcPr>
            <w:tcW w:type="dxa" w:w="51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1800"/>
          </w:tcPr>
          <w:p>
            <w:pPr>
              <w:spacing w:after="0" w:line="276" w:lineRule="auto"/>
            </w:pPr>
            <w:r>
              <w:rPr>
                <w:rFonts w:ascii="Calibri" w:hAnsi="Calibri" w:eastAsia="STHeiti"/>
                <w:b w:val="0"/>
                <w:color w:val="000000"/>
                <w:sz w:val="19"/>
              </w:rPr>
              <w:t>法务合规</w:t>
            </w:r>
          </w:p>
        </w:tc>
        <w:tc>
          <w:tcPr>
            <w:tcW w:type="dxa" w:w="51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1800"/>
          </w:tcPr>
          <w:p>
            <w:pPr>
              <w:spacing w:after="0" w:line="276" w:lineRule="auto"/>
            </w:pPr>
            <w:r>
              <w:rPr>
                <w:rFonts w:ascii="Calibri" w:hAnsi="Calibri" w:eastAsia="STHeiti"/>
                <w:b w:val="0"/>
                <w:color w:val="000000"/>
                <w:sz w:val="19"/>
              </w:rPr>
              <w:t>信息技术</w:t>
            </w:r>
          </w:p>
        </w:tc>
        <w:tc>
          <w:tcPr>
            <w:tcW w:type="dxa" w:w="51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1800"/>
          </w:tcPr>
          <w:p>
            <w:pPr>
              <w:spacing w:after="0" w:line="276" w:lineRule="auto"/>
            </w:pPr>
            <w:r>
              <w:rPr>
                <w:rFonts w:ascii="Calibri" w:hAnsi="Calibri" w:eastAsia="STHeiti"/>
                <w:b w:val="0"/>
                <w:color w:val="000000"/>
                <w:sz w:val="19"/>
              </w:rPr>
              <w:t>客服/运行/供应商管理</w:t>
            </w:r>
          </w:p>
        </w:tc>
        <w:tc>
          <w:tcPr>
            <w:tcW w:type="dxa" w:w="51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bl>
    <w:p>
      <w:pPr>
        <w:spacing w:before="0" w:after="60" w:line="300" w:lineRule="auto"/>
      </w:pP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c>
          <w:tcPr>
            <w:tcW w:type="dxa" w:w="2100"/>
            <w:shd w:fill="F2F4F7"/>
          </w:tcPr>
          <w:p>
            <w:pPr>
              <w:spacing w:after="0"/>
            </w:pPr>
            <w:r>
              <w:rPr>
                <w:rFonts w:ascii="Calibri" w:hAnsi="Calibri" w:eastAsia="STHeiti"/>
                <w:b/>
                <w:color w:val="0B2545"/>
                <w:sz w:val="19"/>
              </w:rPr>
              <w:t>中心总经理审批</w:t>
            </w:r>
          </w:p>
        </w:tc>
        <w:tc>
          <w:tcPr>
            <w:tcW w:type="dxa" w:w="7260"/>
          </w:tcPr>
          <w:p>
            <w:pPr>
              <w:spacing w:after="0"/>
            </w:pPr>
            <w:r>
              <w:rPr>
                <w:rFonts w:ascii="Calibri" w:hAnsi="Calibri" w:eastAsia="STHeiti"/>
                <w:b w:val="0"/>
                <w:color w:val="000000"/>
                <w:sz w:val="19"/>
              </w:rPr>
              <w:t>□同意立项  □退回补充  □不同意  □提报VPCM审阅</w:t>
              <w:br/>
              <w:t>意见：________________________________________________________________________</w:t>
            </w:r>
          </w:p>
        </w:tc>
      </w:tr>
      <w:tr>
        <w:tc>
          <w:tcPr>
            <w:tcW w:type="dxa" w:w="2100"/>
            <w:shd w:fill="F2F4F7"/>
          </w:tcPr>
          <w:p>
            <w:pPr>
              <w:spacing w:after="0"/>
            </w:pPr>
            <w:r>
              <w:rPr>
                <w:rFonts w:ascii="Calibri" w:hAnsi="Calibri" w:eastAsia="STHeiti"/>
                <w:b/>
                <w:color w:val="0B2545"/>
                <w:sz w:val="19"/>
              </w:rPr>
              <w:t>VPCM审阅（如适用）</w:t>
            </w:r>
          </w:p>
        </w:tc>
        <w:tc>
          <w:tcPr>
            <w:tcW w:type="dxa" w:w="7260"/>
          </w:tcPr>
          <w:p>
            <w:pPr>
              <w:spacing w:after="0"/>
            </w:pPr>
            <w:r>
              <w:rPr>
                <w:rFonts w:ascii="Calibri" w:hAnsi="Calibri" w:eastAsia="STHeiti"/>
                <w:b w:val="0"/>
                <w:color w:val="000000"/>
                <w:sz w:val="19"/>
              </w:rPr>
              <w:t>□已审阅  □提出行动要求</w:t>
              <w:br/>
              <w:t>意见：________________________________________________________________________</w:t>
            </w:r>
          </w:p>
        </w:tc>
      </w:tr>
    </w:tbl>
    <w:p>
      <w:pPr>
        <w:spacing w:before="0" w:after="60" w:line="300" w:lineRule="auto"/>
      </w:pPr>
    </w:p>
    <w:p>
      <w:pPr>
        <w:pStyle w:val="Heading2"/>
        <w:keepNext/>
      </w:pPr>
      <w:r>
        <w:rPr>
          <w:rFonts w:ascii="Calibri" w:hAnsi="Calibri" w:eastAsia="STHeiti"/>
          <w:b/>
          <w:color w:val="2E74B5"/>
          <w:sz w:val="26"/>
        </w:rPr>
        <w:t>附表2  产品可行性分析报告</w:t>
      </w:r>
    </w:p>
    <w:p>
      <w:pPr>
        <w:spacing w:before="0" w:after="120" w:line="300" w:lineRule="auto"/>
      </w:pPr>
      <w:r>
        <w:rPr>
          <w:rFonts w:ascii="Calibri" w:hAnsi="Calibri" w:eastAsia="STHeiti"/>
          <w:b w:val="0"/>
          <w:color w:val="5B6573"/>
          <w:sz w:val="20"/>
        </w:rPr>
        <w:t>用途：支持立项审批和重大事项审阅。</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550"/>
        <w:gridCol w:w="5250"/>
        <w:gridCol w:w="2560"/>
      </w:tblGrid>
      <w:tr>
        <w:trPr>
          <w:cantSplit/>
          <w:tblHeader w:val="true"/>
        </w:trPr>
        <w:tc>
          <w:tcPr>
            <w:tcW w:type="dxa" w:w="15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模块</w:t>
            </w:r>
          </w:p>
        </w:tc>
        <w:tc>
          <w:tcPr>
            <w:tcW w:type="dxa" w:w="52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分析要点</w:t>
            </w:r>
          </w:p>
        </w:tc>
        <w:tc>
          <w:tcPr>
            <w:tcW w:type="dxa" w:w="25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结论/附件</w:t>
            </w:r>
          </w:p>
        </w:tc>
      </w:tr>
      <w:tr>
        <w:trPr>
          <w:cantSplit/>
        </w:trPr>
        <w:tc>
          <w:tcPr>
            <w:tcW w:type="dxa" w:w="1550"/>
          </w:tcPr>
          <w:p>
            <w:pPr>
              <w:spacing w:after="0" w:line="276" w:lineRule="auto"/>
            </w:pPr>
            <w:r>
              <w:rPr>
                <w:rFonts w:ascii="Calibri" w:hAnsi="Calibri" w:eastAsia="STHeiti"/>
                <w:b w:val="0"/>
                <w:color w:val="000000"/>
                <w:sz w:val="19"/>
              </w:rPr>
              <w:t>市场与客户</w:t>
            </w:r>
          </w:p>
        </w:tc>
        <w:tc>
          <w:tcPr>
            <w:tcW w:type="dxa" w:w="5250"/>
          </w:tcPr>
          <w:p>
            <w:pPr>
              <w:spacing w:after="0" w:line="276" w:lineRule="auto"/>
            </w:pPr>
            <w:r>
              <w:rPr>
                <w:rFonts w:ascii="Calibri" w:hAnsi="Calibri" w:eastAsia="STHeiti"/>
                <w:b w:val="0"/>
                <w:color w:val="000000"/>
                <w:sz w:val="19"/>
              </w:rPr>
              <w:t>需求证据、客群、竞品、规模、客户支付意愿、渠道验证。</w:t>
            </w:r>
          </w:p>
        </w:tc>
        <w:tc>
          <w:tcPr>
            <w:tcW w:type="dxa" w:w="2560"/>
          </w:tcPr>
          <w:p>
            <w:pPr>
              <w:spacing w:after="0" w:line="276" w:lineRule="auto"/>
            </w:pPr>
            <w:r>
              <w:rPr>
                <w:rFonts w:ascii="Calibri" w:hAnsi="Calibri" w:eastAsia="STHeiti"/>
                <w:b w:val="0"/>
                <w:color w:val="000000"/>
                <w:sz w:val="19"/>
              </w:rPr>
            </w:r>
          </w:p>
        </w:tc>
      </w:tr>
      <w:tr>
        <w:trPr>
          <w:cantSplit/>
        </w:trPr>
        <w:tc>
          <w:tcPr>
            <w:tcW w:type="dxa" w:w="1550"/>
          </w:tcPr>
          <w:p>
            <w:pPr>
              <w:spacing w:after="0" w:line="276" w:lineRule="auto"/>
            </w:pPr>
            <w:r>
              <w:rPr>
                <w:rFonts w:ascii="Calibri" w:hAnsi="Calibri" w:eastAsia="STHeiti"/>
                <w:b w:val="0"/>
                <w:color w:val="000000"/>
                <w:sz w:val="19"/>
              </w:rPr>
              <w:t>产品与供应</w:t>
            </w:r>
          </w:p>
        </w:tc>
        <w:tc>
          <w:tcPr>
            <w:tcW w:type="dxa" w:w="5250"/>
          </w:tcPr>
          <w:p>
            <w:pPr>
              <w:spacing w:after="0" w:line="276" w:lineRule="auto"/>
            </w:pPr>
            <w:r>
              <w:rPr>
                <w:rFonts w:ascii="Calibri" w:hAnsi="Calibri" w:eastAsia="STHeiti"/>
                <w:b w:val="0"/>
                <w:color w:val="000000"/>
                <w:sz w:val="19"/>
              </w:rPr>
              <w:t>组合设计、服务标准、供应商资质/履约、库存资源、责任边界。</w:t>
            </w:r>
          </w:p>
        </w:tc>
        <w:tc>
          <w:tcPr>
            <w:tcW w:type="dxa" w:w="2560"/>
          </w:tcPr>
          <w:p>
            <w:pPr>
              <w:spacing w:after="0" w:line="276" w:lineRule="auto"/>
            </w:pPr>
            <w:r>
              <w:rPr>
                <w:rFonts w:ascii="Calibri" w:hAnsi="Calibri" w:eastAsia="STHeiti"/>
                <w:b w:val="0"/>
                <w:color w:val="000000"/>
                <w:sz w:val="19"/>
              </w:rPr>
            </w:r>
          </w:p>
        </w:tc>
      </w:tr>
      <w:tr>
        <w:trPr>
          <w:cantSplit/>
        </w:trPr>
        <w:tc>
          <w:tcPr>
            <w:tcW w:type="dxa" w:w="1550"/>
          </w:tcPr>
          <w:p>
            <w:pPr>
              <w:spacing w:after="0" w:line="276" w:lineRule="auto"/>
            </w:pPr>
            <w:r>
              <w:rPr>
                <w:rFonts w:ascii="Calibri" w:hAnsi="Calibri" w:eastAsia="STHeiti"/>
                <w:b w:val="0"/>
                <w:color w:val="000000"/>
                <w:sz w:val="19"/>
              </w:rPr>
              <w:t>财务与定价</w:t>
            </w:r>
          </w:p>
        </w:tc>
        <w:tc>
          <w:tcPr>
            <w:tcW w:type="dxa" w:w="5250"/>
          </w:tcPr>
          <w:p>
            <w:pPr>
              <w:spacing w:after="0" w:line="276" w:lineRule="auto"/>
            </w:pPr>
            <w:r>
              <w:rPr>
                <w:rFonts w:ascii="Calibri" w:hAnsi="Calibri" w:eastAsia="STHeiti"/>
                <w:b w:val="0"/>
                <w:color w:val="000000"/>
                <w:sz w:val="19"/>
              </w:rPr>
              <w:t>销量预测、成本、价格、毛利/贡献利润、敏感性、现金流及退款影响。</w:t>
            </w:r>
          </w:p>
        </w:tc>
        <w:tc>
          <w:tcPr>
            <w:tcW w:type="dxa" w:w="2560"/>
          </w:tcPr>
          <w:p>
            <w:pPr>
              <w:spacing w:after="0" w:line="276" w:lineRule="auto"/>
            </w:pPr>
            <w:r>
              <w:rPr>
                <w:rFonts w:ascii="Calibri" w:hAnsi="Calibri" w:eastAsia="STHeiti"/>
                <w:b w:val="0"/>
                <w:color w:val="000000"/>
                <w:sz w:val="19"/>
              </w:rPr>
            </w:r>
          </w:p>
        </w:tc>
      </w:tr>
      <w:tr>
        <w:trPr>
          <w:cantSplit/>
        </w:trPr>
        <w:tc>
          <w:tcPr>
            <w:tcW w:type="dxa" w:w="1550"/>
          </w:tcPr>
          <w:p>
            <w:pPr>
              <w:spacing w:after="0" w:line="276" w:lineRule="auto"/>
            </w:pPr>
            <w:r>
              <w:rPr>
                <w:rFonts w:ascii="Calibri" w:hAnsi="Calibri" w:eastAsia="STHeiti"/>
                <w:b w:val="0"/>
                <w:color w:val="000000"/>
                <w:sz w:val="19"/>
              </w:rPr>
              <w:t>合规与合同</w:t>
            </w:r>
          </w:p>
        </w:tc>
        <w:tc>
          <w:tcPr>
            <w:tcW w:type="dxa" w:w="5250"/>
          </w:tcPr>
          <w:p>
            <w:pPr>
              <w:spacing w:after="0" w:line="276" w:lineRule="auto"/>
            </w:pPr>
            <w:r>
              <w:rPr>
                <w:rFonts w:ascii="Calibri" w:hAnsi="Calibri" w:eastAsia="STHeiti"/>
                <w:b w:val="0"/>
                <w:color w:val="000000"/>
                <w:sz w:val="19"/>
              </w:rPr>
              <w:t>资质、消费者权益、宣传、数据、合同及特殊监管要求。</w:t>
            </w:r>
          </w:p>
        </w:tc>
        <w:tc>
          <w:tcPr>
            <w:tcW w:type="dxa" w:w="2560"/>
          </w:tcPr>
          <w:p>
            <w:pPr>
              <w:spacing w:after="0" w:line="276" w:lineRule="auto"/>
            </w:pPr>
            <w:r>
              <w:rPr>
                <w:rFonts w:ascii="Calibri" w:hAnsi="Calibri" w:eastAsia="STHeiti"/>
                <w:b w:val="0"/>
                <w:color w:val="000000"/>
                <w:sz w:val="19"/>
              </w:rPr>
            </w:r>
          </w:p>
        </w:tc>
      </w:tr>
      <w:tr>
        <w:trPr>
          <w:cantSplit/>
        </w:trPr>
        <w:tc>
          <w:tcPr>
            <w:tcW w:type="dxa" w:w="1550"/>
          </w:tcPr>
          <w:p>
            <w:pPr>
              <w:spacing w:after="0" w:line="276" w:lineRule="auto"/>
            </w:pPr>
            <w:r>
              <w:rPr>
                <w:rFonts w:ascii="Calibri" w:hAnsi="Calibri" w:eastAsia="STHeiti"/>
                <w:b w:val="0"/>
                <w:color w:val="000000"/>
                <w:sz w:val="19"/>
              </w:rPr>
              <w:t>系统与数据</w:t>
            </w:r>
          </w:p>
        </w:tc>
        <w:tc>
          <w:tcPr>
            <w:tcW w:type="dxa" w:w="5250"/>
          </w:tcPr>
          <w:p>
            <w:pPr>
              <w:spacing w:after="0" w:line="276" w:lineRule="auto"/>
            </w:pPr>
            <w:r>
              <w:rPr>
                <w:rFonts w:ascii="Calibri" w:hAnsi="Calibri" w:eastAsia="STHeiti"/>
                <w:b w:val="0"/>
                <w:color w:val="000000"/>
                <w:sz w:val="19"/>
              </w:rPr>
              <w:t>渠道、订单、支付、接口、数据字段、权限、安全、测试工作量。</w:t>
            </w:r>
          </w:p>
        </w:tc>
        <w:tc>
          <w:tcPr>
            <w:tcW w:type="dxa" w:w="2560"/>
          </w:tcPr>
          <w:p>
            <w:pPr>
              <w:spacing w:after="0" w:line="276" w:lineRule="auto"/>
            </w:pPr>
            <w:r>
              <w:rPr>
                <w:rFonts w:ascii="Calibri" w:hAnsi="Calibri" w:eastAsia="STHeiti"/>
                <w:b w:val="0"/>
                <w:color w:val="000000"/>
                <w:sz w:val="19"/>
              </w:rPr>
            </w:r>
          </w:p>
        </w:tc>
      </w:tr>
      <w:tr>
        <w:trPr>
          <w:cantSplit/>
        </w:trPr>
        <w:tc>
          <w:tcPr>
            <w:tcW w:type="dxa" w:w="1550"/>
          </w:tcPr>
          <w:p>
            <w:pPr>
              <w:spacing w:after="0" w:line="276" w:lineRule="auto"/>
            </w:pPr>
            <w:r>
              <w:rPr>
                <w:rFonts w:ascii="Calibri" w:hAnsi="Calibri" w:eastAsia="STHeiti"/>
                <w:b w:val="0"/>
                <w:color w:val="000000"/>
                <w:sz w:val="19"/>
              </w:rPr>
              <w:t>风险与退出</w:t>
            </w:r>
          </w:p>
        </w:tc>
        <w:tc>
          <w:tcPr>
            <w:tcW w:type="dxa" w:w="5250"/>
          </w:tcPr>
          <w:p>
            <w:pPr>
              <w:spacing w:after="0" w:line="276" w:lineRule="auto"/>
            </w:pPr>
            <w:r>
              <w:rPr>
                <w:rFonts w:ascii="Calibri" w:hAnsi="Calibri" w:eastAsia="STHeiti"/>
                <w:b w:val="0"/>
                <w:color w:val="000000"/>
                <w:sz w:val="19"/>
              </w:rPr>
              <w:t>主要风险、控制措施、应急预案、下线/止损条件。</w:t>
            </w:r>
          </w:p>
        </w:tc>
        <w:tc>
          <w:tcPr>
            <w:tcW w:type="dxa" w:w="2560"/>
          </w:tcPr>
          <w:p>
            <w:pPr>
              <w:spacing w:after="0" w:line="276" w:lineRule="auto"/>
            </w:pPr>
            <w:r>
              <w:rPr>
                <w:rFonts w:ascii="Calibri" w:hAnsi="Calibri" w:eastAsia="STHeiti"/>
                <w:b w:val="0"/>
                <w:color w:val="000000"/>
                <w:sz w:val="19"/>
              </w:rPr>
            </w:r>
          </w:p>
        </w:tc>
      </w:tr>
    </w:tbl>
    <w:p>
      <w:pPr>
        <w:spacing w:before="0" w:after="60" w:line="300" w:lineRule="auto"/>
      </w:pPr>
    </w:p>
    <w:p>
      <w:pPr>
        <w:pStyle w:val="Heading2"/>
        <w:keepNext/>
      </w:pPr>
      <w:r>
        <w:rPr>
          <w:rFonts w:ascii="Calibri" w:hAnsi="Calibri" w:eastAsia="STHeiti"/>
          <w:b/>
          <w:color w:val="2E74B5"/>
          <w:sz w:val="26"/>
        </w:rPr>
        <w:t>附表3  定价审批单</w:t>
      </w:r>
    </w:p>
    <w:p>
      <w:pPr>
        <w:spacing w:before="0" w:after="120" w:line="300" w:lineRule="auto"/>
      </w:pPr>
      <w:r>
        <w:rPr>
          <w:rFonts w:ascii="Calibri" w:hAnsi="Calibri" w:eastAsia="STHeiti"/>
          <w:b w:val="0"/>
          <w:color w:val="5B6573"/>
          <w:sz w:val="20"/>
        </w:rPr>
        <w:t>用途：确认新产品、重要调价或例外价格。</w:t>
      </w: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c>
          <w:tcPr>
            <w:tcW w:type="dxa" w:w="2100"/>
            <w:shd w:fill="F2F4F7"/>
          </w:tcPr>
          <w:p>
            <w:pPr>
              <w:spacing w:after="0"/>
            </w:pPr>
            <w:r>
              <w:rPr>
                <w:rFonts w:ascii="Calibri" w:hAnsi="Calibri" w:eastAsia="STHeiti"/>
                <w:b/>
                <w:color w:val="0B2545"/>
                <w:sz w:val="19"/>
              </w:rPr>
              <w:t>产品信息</w:t>
            </w:r>
          </w:p>
        </w:tc>
        <w:tc>
          <w:tcPr>
            <w:tcW w:type="dxa" w:w="7260"/>
          </w:tcPr>
          <w:p>
            <w:pPr>
              <w:spacing w:after="0"/>
            </w:pPr>
            <w:r>
              <w:rPr>
                <w:rFonts w:ascii="Calibri" w:hAnsi="Calibri" w:eastAsia="STHeiti"/>
                <w:b w:val="0"/>
                <w:color w:val="000000"/>
                <w:sz w:val="19"/>
              </w:rPr>
              <w:t>产品编号：__________  名称：__________  适用渠道：__________  有效期：__________</w:t>
            </w:r>
          </w:p>
        </w:tc>
      </w:tr>
      <w:tr>
        <w:tc>
          <w:tcPr>
            <w:tcW w:type="dxa" w:w="2100"/>
            <w:shd w:fill="F2F4F7"/>
          </w:tcPr>
          <w:p>
            <w:pPr>
              <w:spacing w:after="0"/>
            </w:pPr>
            <w:r>
              <w:rPr>
                <w:rFonts w:ascii="Calibri" w:hAnsi="Calibri" w:eastAsia="STHeiti"/>
                <w:b/>
                <w:color w:val="0B2545"/>
                <w:sz w:val="19"/>
              </w:rPr>
              <w:t>成本与收益测算</w:t>
            </w:r>
          </w:p>
        </w:tc>
        <w:tc>
          <w:tcPr>
            <w:tcW w:type="dxa" w:w="7260"/>
          </w:tcPr>
          <w:p>
            <w:pPr>
              <w:spacing w:after="0"/>
            </w:pPr>
            <w:r>
              <w:rPr>
                <w:rFonts w:ascii="Calibri" w:hAnsi="Calibri" w:eastAsia="STHeiti"/>
                <w:b w:val="0"/>
                <w:color w:val="000000"/>
                <w:sz w:val="19"/>
              </w:rPr>
              <w:t>成本：______  建议售价：______  毛利/贡献利润：______  敏感性说明：________________</w:t>
            </w:r>
          </w:p>
        </w:tc>
      </w:tr>
      <w:tr>
        <w:tc>
          <w:tcPr>
            <w:tcW w:type="dxa" w:w="2100"/>
            <w:shd w:fill="F2F4F7"/>
          </w:tcPr>
          <w:p>
            <w:pPr>
              <w:spacing w:after="0"/>
            </w:pPr>
            <w:r>
              <w:rPr>
                <w:rFonts w:ascii="Calibri" w:hAnsi="Calibri" w:eastAsia="STHeiti"/>
                <w:b/>
                <w:color w:val="0B2545"/>
                <w:sz w:val="19"/>
              </w:rPr>
              <w:t>价格规则</w:t>
            </w:r>
          </w:p>
        </w:tc>
        <w:tc>
          <w:tcPr>
            <w:tcW w:type="dxa" w:w="7260"/>
          </w:tcPr>
          <w:p>
            <w:pPr>
              <w:spacing w:after="0"/>
            </w:pPr>
            <w:r>
              <w:rPr>
                <w:rFonts w:ascii="Calibri" w:hAnsi="Calibri" w:eastAsia="STHeiti"/>
                <w:b w:val="0"/>
                <w:color w:val="000000"/>
                <w:sz w:val="19"/>
              </w:rPr>
              <w:t>□标准价  □促销价  □渠道价  □例外价</w:t>
              <w:br/>
              <w:t>规则、限制及客户展示口径：____________________________________________________________</w:t>
            </w:r>
          </w:p>
        </w:tc>
      </w:tr>
      <w:tr>
        <w:tc>
          <w:tcPr>
            <w:tcW w:type="dxa" w:w="2100"/>
            <w:shd w:fill="F2F4F7"/>
          </w:tcPr>
          <w:p>
            <w:pPr>
              <w:spacing w:after="0"/>
            </w:pPr>
            <w:r>
              <w:rPr>
                <w:rFonts w:ascii="Calibri" w:hAnsi="Calibri" w:eastAsia="STHeiti"/>
                <w:b/>
                <w:color w:val="0B2545"/>
                <w:sz w:val="19"/>
              </w:rPr>
              <w:t>申请说明</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bl>
    <w:p>
      <w:pPr>
        <w:spacing w:before="0" w:after="60" w:line="300" w:lineRule="auto"/>
      </w:pP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4800"/>
        <w:gridCol w:w="2460"/>
      </w:tblGrid>
      <w:tr>
        <w:trPr>
          <w:cantSplit/>
          <w:tblHeader w:val="true"/>
        </w:trPr>
        <w:tc>
          <w:tcPr>
            <w:tcW w:type="dxa" w:w="21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审核/会签</w:t>
            </w:r>
          </w:p>
        </w:tc>
        <w:tc>
          <w:tcPr>
            <w:tcW w:type="dxa" w:w="48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意见</w:t>
            </w:r>
          </w:p>
        </w:tc>
        <w:tc>
          <w:tcPr>
            <w:tcW w:type="dxa" w:w="24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签名/日期</w:t>
            </w:r>
          </w:p>
        </w:tc>
      </w:tr>
      <w:tr>
        <w:trPr>
          <w:cantSplit/>
        </w:trPr>
        <w:tc>
          <w:tcPr>
            <w:tcW w:type="dxa" w:w="2100"/>
          </w:tcPr>
          <w:p>
            <w:pPr>
              <w:spacing w:after="0" w:line="276" w:lineRule="auto"/>
            </w:pPr>
            <w:r>
              <w:rPr>
                <w:rFonts w:ascii="Calibri" w:hAnsi="Calibri" w:eastAsia="STHeiti"/>
                <w:b w:val="0"/>
                <w:color w:val="000000"/>
                <w:sz w:val="19"/>
              </w:rPr>
              <w:t>收益/财务</w:t>
            </w:r>
          </w:p>
        </w:tc>
        <w:tc>
          <w:tcPr>
            <w:tcW w:type="dxa" w:w="48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100"/>
          </w:tcPr>
          <w:p>
            <w:pPr>
              <w:spacing w:after="0" w:line="276" w:lineRule="auto"/>
            </w:pPr>
            <w:r>
              <w:rPr>
                <w:rFonts w:ascii="Calibri" w:hAnsi="Calibri" w:eastAsia="STHeiti"/>
                <w:b w:val="0"/>
                <w:color w:val="000000"/>
                <w:sz w:val="19"/>
              </w:rPr>
              <w:t>销售/渠道</w:t>
            </w:r>
          </w:p>
        </w:tc>
        <w:tc>
          <w:tcPr>
            <w:tcW w:type="dxa" w:w="48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100"/>
          </w:tcPr>
          <w:p>
            <w:pPr>
              <w:spacing w:after="0" w:line="276" w:lineRule="auto"/>
            </w:pPr>
            <w:r>
              <w:rPr>
                <w:rFonts w:ascii="Calibri" w:hAnsi="Calibri" w:eastAsia="STHeiti"/>
                <w:b w:val="0"/>
                <w:color w:val="000000"/>
                <w:sz w:val="19"/>
              </w:rPr>
              <w:t>法务合规（如涉及客户规则变更）</w:t>
            </w:r>
          </w:p>
        </w:tc>
        <w:tc>
          <w:tcPr>
            <w:tcW w:type="dxa" w:w="48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100"/>
          </w:tcPr>
          <w:p>
            <w:pPr>
              <w:spacing w:after="0" w:line="276" w:lineRule="auto"/>
            </w:pPr>
            <w:r>
              <w:rPr>
                <w:rFonts w:ascii="Calibri" w:hAnsi="Calibri" w:eastAsia="STHeiti"/>
                <w:b w:val="0"/>
                <w:color w:val="000000"/>
                <w:sz w:val="19"/>
              </w:rPr>
              <w:t>中心总经理</w:t>
            </w:r>
          </w:p>
        </w:tc>
        <w:tc>
          <w:tcPr>
            <w:tcW w:type="dxa" w:w="48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bl>
    <w:p>
      <w:pPr>
        <w:spacing w:before="0" w:after="60" w:line="300" w:lineRule="auto"/>
      </w:pPr>
    </w:p>
    <w:p>
      <w:pPr>
        <w:pStyle w:val="Heading2"/>
        <w:keepNext/>
      </w:pPr>
      <w:r>
        <w:rPr>
          <w:rFonts w:ascii="Calibri" w:hAnsi="Calibri" w:eastAsia="STHeiti"/>
          <w:b/>
          <w:color w:val="2E74B5"/>
          <w:sz w:val="26"/>
        </w:rPr>
        <w:t>附表4  产品上线检查及验收单</w:t>
      </w:r>
    </w:p>
    <w:p>
      <w:pPr>
        <w:spacing w:before="0" w:after="120" w:line="300" w:lineRule="auto"/>
      </w:pPr>
      <w:r>
        <w:rPr>
          <w:rFonts w:ascii="Calibri" w:hAnsi="Calibri" w:eastAsia="STHeiti"/>
          <w:b w:val="0"/>
          <w:color w:val="5B6573"/>
          <w:sz w:val="20"/>
        </w:rPr>
        <w:t>用途：确认产品达到可销售状态。</w:t>
      </w: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4200"/>
        <w:gridCol w:w="1500"/>
        <w:gridCol w:w="1860"/>
        <w:gridCol w:w="1800"/>
      </w:tblGrid>
      <w:tr>
        <w:trPr>
          <w:cantSplit/>
          <w:tblHeader w:val="true"/>
        </w:trPr>
        <w:tc>
          <w:tcPr>
            <w:tcW w:type="dxa" w:w="42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检查项目</w:t>
            </w:r>
          </w:p>
        </w:tc>
        <w:tc>
          <w:tcPr>
            <w:tcW w:type="dxa" w:w="15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验收结果</w:t>
            </w:r>
          </w:p>
        </w:tc>
        <w:tc>
          <w:tcPr>
            <w:tcW w:type="dxa" w:w="18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责任人/日期</w:t>
            </w:r>
          </w:p>
        </w:tc>
        <w:tc>
          <w:tcPr>
            <w:tcW w:type="dxa" w:w="18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备注</w:t>
            </w:r>
          </w:p>
        </w:tc>
      </w:tr>
      <w:tr>
        <w:trPr>
          <w:cantSplit/>
        </w:trPr>
        <w:tc>
          <w:tcPr>
            <w:tcW w:type="dxa" w:w="4200"/>
          </w:tcPr>
          <w:p>
            <w:pPr>
              <w:spacing w:after="0" w:line="276" w:lineRule="auto"/>
            </w:pPr>
            <w:r>
              <w:rPr>
                <w:rFonts w:ascii="Calibri" w:hAnsi="Calibri" w:eastAsia="STHeiti"/>
                <w:b w:val="0"/>
                <w:color w:val="000000"/>
                <w:sz w:val="19"/>
              </w:rPr>
              <w:t>立项及定价已批准</w:t>
            </w:r>
          </w:p>
        </w:tc>
        <w:tc>
          <w:tcPr>
            <w:tcW w:type="dxa" w:w="1500"/>
          </w:tcPr>
          <w:p>
            <w:pPr>
              <w:spacing w:after="0" w:line="276" w:lineRule="auto"/>
            </w:pPr>
            <w:r>
              <w:rPr>
                <w:rFonts w:ascii="Calibri" w:hAnsi="Calibri" w:eastAsia="STHeiti"/>
                <w:b w:val="0"/>
                <w:color w:val="000000"/>
                <w:sz w:val="19"/>
              </w:rPr>
              <w:t>□通过 □不通过</w:t>
            </w:r>
          </w:p>
        </w:tc>
        <w:tc>
          <w:tcPr>
            <w:tcW w:type="dxa" w:w="1860"/>
          </w:tcPr>
          <w:p>
            <w:pPr>
              <w:spacing w:after="0" w:line="276" w:lineRule="auto"/>
            </w:pPr>
            <w:r>
              <w:rPr>
                <w:rFonts w:ascii="Calibri" w:hAnsi="Calibri" w:eastAsia="STHeiti"/>
                <w:b w:val="0"/>
                <w:color w:val="000000"/>
                <w:sz w:val="19"/>
              </w:rPr>
            </w:r>
          </w:p>
        </w:tc>
        <w:tc>
          <w:tcPr>
            <w:tcW w:type="dxa" w:w="1800"/>
          </w:tcPr>
          <w:p>
            <w:pPr>
              <w:spacing w:after="0" w:line="276" w:lineRule="auto"/>
            </w:pPr>
            <w:r>
              <w:rPr>
                <w:rFonts w:ascii="Calibri" w:hAnsi="Calibri" w:eastAsia="STHeiti"/>
                <w:b w:val="0"/>
                <w:color w:val="000000"/>
                <w:sz w:val="19"/>
              </w:rPr>
            </w:r>
          </w:p>
        </w:tc>
      </w:tr>
      <w:tr>
        <w:trPr>
          <w:cantSplit/>
        </w:trPr>
        <w:tc>
          <w:tcPr>
            <w:tcW w:type="dxa" w:w="4200"/>
          </w:tcPr>
          <w:p>
            <w:pPr>
              <w:spacing w:after="0" w:line="276" w:lineRule="auto"/>
            </w:pPr>
            <w:r>
              <w:rPr>
                <w:rFonts w:ascii="Calibri" w:hAnsi="Calibri" w:eastAsia="STHeiti"/>
                <w:b w:val="0"/>
                <w:color w:val="000000"/>
                <w:sz w:val="19"/>
              </w:rPr>
              <w:t>合同/供应商资源已确认</w:t>
            </w:r>
          </w:p>
        </w:tc>
        <w:tc>
          <w:tcPr>
            <w:tcW w:type="dxa" w:w="1500"/>
          </w:tcPr>
          <w:p>
            <w:pPr>
              <w:spacing w:after="0" w:line="276" w:lineRule="auto"/>
            </w:pPr>
            <w:r>
              <w:rPr>
                <w:rFonts w:ascii="Calibri" w:hAnsi="Calibri" w:eastAsia="STHeiti"/>
                <w:b w:val="0"/>
                <w:color w:val="000000"/>
                <w:sz w:val="19"/>
              </w:rPr>
              <w:t>□通过 □不通过</w:t>
            </w:r>
          </w:p>
        </w:tc>
        <w:tc>
          <w:tcPr>
            <w:tcW w:type="dxa" w:w="1860"/>
          </w:tcPr>
          <w:p>
            <w:pPr>
              <w:spacing w:after="0" w:line="276" w:lineRule="auto"/>
            </w:pPr>
            <w:r>
              <w:rPr>
                <w:rFonts w:ascii="Calibri" w:hAnsi="Calibri" w:eastAsia="STHeiti"/>
                <w:b w:val="0"/>
                <w:color w:val="000000"/>
                <w:sz w:val="19"/>
              </w:rPr>
            </w:r>
          </w:p>
        </w:tc>
        <w:tc>
          <w:tcPr>
            <w:tcW w:type="dxa" w:w="1800"/>
          </w:tcPr>
          <w:p>
            <w:pPr>
              <w:spacing w:after="0" w:line="276" w:lineRule="auto"/>
            </w:pPr>
            <w:r>
              <w:rPr>
                <w:rFonts w:ascii="Calibri" w:hAnsi="Calibri" w:eastAsia="STHeiti"/>
                <w:b w:val="0"/>
                <w:color w:val="000000"/>
                <w:sz w:val="19"/>
              </w:rPr>
            </w:r>
          </w:p>
        </w:tc>
      </w:tr>
      <w:tr>
        <w:trPr>
          <w:cantSplit/>
        </w:trPr>
        <w:tc>
          <w:tcPr>
            <w:tcW w:type="dxa" w:w="4200"/>
          </w:tcPr>
          <w:p>
            <w:pPr>
              <w:spacing w:after="0" w:line="276" w:lineRule="auto"/>
            </w:pPr>
            <w:r>
              <w:rPr>
                <w:rFonts w:ascii="Calibri" w:hAnsi="Calibri" w:eastAsia="STHeiti"/>
                <w:b w:val="0"/>
                <w:color w:val="000000"/>
                <w:sz w:val="19"/>
              </w:rPr>
              <w:t>产品信息、客户告知及改退规则清晰</w:t>
            </w:r>
          </w:p>
        </w:tc>
        <w:tc>
          <w:tcPr>
            <w:tcW w:type="dxa" w:w="1500"/>
          </w:tcPr>
          <w:p>
            <w:pPr>
              <w:spacing w:after="0" w:line="276" w:lineRule="auto"/>
            </w:pPr>
            <w:r>
              <w:rPr>
                <w:rFonts w:ascii="Calibri" w:hAnsi="Calibri" w:eastAsia="STHeiti"/>
                <w:b w:val="0"/>
                <w:color w:val="000000"/>
                <w:sz w:val="19"/>
              </w:rPr>
              <w:t>□通过 □不通过</w:t>
            </w:r>
          </w:p>
        </w:tc>
        <w:tc>
          <w:tcPr>
            <w:tcW w:type="dxa" w:w="1860"/>
          </w:tcPr>
          <w:p>
            <w:pPr>
              <w:spacing w:after="0" w:line="276" w:lineRule="auto"/>
            </w:pPr>
            <w:r>
              <w:rPr>
                <w:rFonts w:ascii="Calibri" w:hAnsi="Calibri" w:eastAsia="STHeiti"/>
                <w:b w:val="0"/>
                <w:color w:val="000000"/>
                <w:sz w:val="19"/>
              </w:rPr>
            </w:r>
          </w:p>
        </w:tc>
        <w:tc>
          <w:tcPr>
            <w:tcW w:type="dxa" w:w="1800"/>
          </w:tcPr>
          <w:p>
            <w:pPr>
              <w:spacing w:after="0" w:line="276" w:lineRule="auto"/>
            </w:pPr>
            <w:r>
              <w:rPr>
                <w:rFonts w:ascii="Calibri" w:hAnsi="Calibri" w:eastAsia="STHeiti"/>
                <w:b w:val="0"/>
                <w:color w:val="000000"/>
                <w:sz w:val="19"/>
              </w:rPr>
            </w:r>
          </w:p>
        </w:tc>
      </w:tr>
      <w:tr>
        <w:trPr>
          <w:cantSplit/>
        </w:trPr>
        <w:tc>
          <w:tcPr>
            <w:tcW w:type="dxa" w:w="4200"/>
          </w:tcPr>
          <w:p>
            <w:pPr>
              <w:spacing w:after="0" w:line="276" w:lineRule="auto"/>
            </w:pPr>
            <w:r>
              <w:rPr>
                <w:rFonts w:ascii="Calibri" w:hAnsi="Calibri" w:eastAsia="STHeiti"/>
                <w:b w:val="0"/>
                <w:color w:val="000000"/>
                <w:sz w:val="19"/>
              </w:rPr>
              <w:t>系统配置及全流程测试通过</w:t>
            </w:r>
          </w:p>
        </w:tc>
        <w:tc>
          <w:tcPr>
            <w:tcW w:type="dxa" w:w="1500"/>
          </w:tcPr>
          <w:p>
            <w:pPr>
              <w:spacing w:after="0" w:line="276" w:lineRule="auto"/>
            </w:pPr>
            <w:r>
              <w:rPr>
                <w:rFonts w:ascii="Calibri" w:hAnsi="Calibri" w:eastAsia="STHeiti"/>
                <w:b w:val="0"/>
                <w:color w:val="000000"/>
                <w:sz w:val="19"/>
              </w:rPr>
              <w:t>□通过 □不通过</w:t>
            </w:r>
          </w:p>
        </w:tc>
        <w:tc>
          <w:tcPr>
            <w:tcW w:type="dxa" w:w="1860"/>
          </w:tcPr>
          <w:p>
            <w:pPr>
              <w:spacing w:after="0" w:line="276" w:lineRule="auto"/>
            </w:pPr>
            <w:r>
              <w:rPr>
                <w:rFonts w:ascii="Calibri" w:hAnsi="Calibri" w:eastAsia="STHeiti"/>
                <w:b w:val="0"/>
                <w:color w:val="000000"/>
                <w:sz w:val="19"/>
              </w:rPr>
            </w:r>
          </w:p>
        </w:tc>
        <w:tc>
          <w:tcPr>
            <w:tcW w:type="dxa" w:w="1800"/>
          </w:tcPr>
          <w:p>
            <w:pPr>
              <w:spacing w:after="0" w:line="276" w:lineRule="auto"/>
            </w:pPr>
            <w:r>
              <w:rPr>
                <w:rFonts w:ascii="Calibri" w:hAnsi="Calibri" w:eastAsia="STHeiti"/>
                <w:b w:val="0"/>
                <w:color w:val="000000"/>
                <w:sz w:val="19"/>
              </w:rPr>
            </w:r>
          </w:p>
        </w:tc>
      </w:tr>
      <w:tr>
        <w:trPr>
          <w:cantSplit/>
        </w:trPr>
        <w:tc>
          <w:tcPr>
            <w:tcW w:type="dxa" w:w="4200"/>
          </w:tcPr>
          <w:p>
            <w:pPr>
              <w:spacing w:after="0" w:line="276" w:lineRule="auto"/>
            </w:pPr>
            <w:r>
              <w:rPr>
                <w:rFonts w:ascii="Calibri" w:hAnsi="Calibri" w:eastAsia="STHeiti"/>
                <w:b w:val="0"/>
                <w:color w:val="000000"/>
                <w:sz w:val="19"/>
              </w:rPr>
              <w:t>支付、订单、通知、报表及异常场景验证</w:t>
            </w:r>
          </w:p>
        </w:tc>
        <w:tc>
          <w:tcPr>
            <w:tcW w:type="dxa" w:w="1500"/>
          </w:tcPr>
          <w:p>
            <w:pPr>
              <w:spacing w:after="0" w:line="276" w:lineRule="auto"/>
            </w:pPr>
            <w:r>
              <w:rPr>
                <w:rFonts w:ascii="Calibri" w:hAnsi="Calibri" w:eastAsia="STHeiti"/>
                <w:b w:val="0"/>
                <w:color w:val="000000"/>
                <w:sz w:val="19"/>
              </w:rPr>
              <w:t>□通过 □不通过</w:t>
            </w:r>
          </w:p>
        </w:tc>
        <w:tc>
          <w:tcPr>
            <w:tcW w:type="dxa" w:w="1860"/>
          </w:tcPr>
          <w:p>
            <w:pPr>
              <w:spacing w:after="0" w:line="276" w:lineRule="auto"/>
            </w:pPr>
            <w:r>
              <w:rPr>
                <w:rFonts w:ascii="Calibri" w:hAnsi="Calibri" w:eastAsia="STHeiti"/>
                <w:b w:val="0"/>
                <w:color w:val="000000"/>
                <w:sz w:val="19"/>
              </w:rPr>
            </w:r>
          </w:p>
        </w:tc>
        <w:tc>
          <w:tcPr>
            <w:tcW w:type="dxa" w:w="1800"/>
          </w:tcPr>
          <w:p>
            <w:pPr>
              <w:spacing w:after="0" w:line="276" w:lineRule="auto"/>
            </w:pPr>
            <w:r>
              <w:rPr>
                <w:rFonts w:ascii="Calibri" w:hAnsi="Calibri" w:eastAsia="STHeiti"/>
                <w:b w:val="0"/>
                <w:color w:val="000000"/>
                <w:sz w:val="19"/>
              </w:rPr>
            </w:r>
          </w:p>
        </w:tc>
      </w:tr>
      <w:tr>
        <w:trPr>
          <w:cantSplit/>
        </w:trPr>
        <w:tc>
          <w:tcPr>
            <w:tcW w:type="dxa" w:w="4200"/>
          </w:tcPr>
          <w:p>
            <w:pPr>
              <w:spacing w:after="0" w:line="276" w:lineRule="auto"/>
            </w:pPr>
            <w:r>
              <w:rPr>
                <w:rFonts w:ascii="Calibri" w:hAnsi="Calibri" w:eastAsia="STHeiti"/>
                <w:b w:val="0"/>
                <w:color w:val="000000"/>
                <w:sz w:val="19"/>
              </w:rPr>
              <w:t>渠道、库存、物料及销售培训完成</w:t>
            </w:r>
          </w:p>
        </w:tc>
        <w:tc>
          <w:tcPr>
            <w:tcW w:type="dxa" w:w="1500"/>
          </w:tcPr>
          <w:p>
            <w:pPr>
              <w:spacing w:after="0" w:line="276" w:lineRule="auto"/>
            </w:pPr>
            <w:r>
              <w:rPr>
                <w:rFonts w:ascii="Calibri" w:hAnsi="Calibri" w:eastAsia="STHeiti"/>
                <w:b w:val="0"/>
                <w:color w:val="000000"/>
                <w:sz w:val="19"/>
              </w:rPr>
              <w:t>□通过 □不通过</w:t>
            </w:r>
          </w:p>
        </w:tc>
        <w:tc>
          <w:tcPr>
            <w:tcW w:type="dxa" w:w="1860"/>
          </w:tcPr>
          <w:p>
            <w:pPr>
              <w:spacing w:after="0" w:line="276" w:lineRule="auto"/>
            </w:pPr>
            <w:r>
              <w:rPr>
                <w:rFonts w:ascii="Calibri" w:hAnsi="Calibri" w:eastAsia="STHeiti"/>
                <w:b w:val="0"/>
                <w:color w:val="000000"/>
                <w:sz w:val="19"/>
              </w:rPr>
            </w:r>
          </w:p>
        </w:tc>
        <w:tc>
          <w:tcPr>
            <w:tcW w:type="dxa" w:w="1800"/>
          </w:tcPr>
          <w:p>
            <w:pPr>
              <w:spacing w:after="0" w:line="276" w:lineRule="auto"/>
            </w:pPr>
            <w:r>
              <w:rPr>
                <w:rFonts w:ascii="Calibri" w:hAnsi="Calibri" w:eastAsia="STHeiti"/>
                <w:b w:val="0"/>
                <w:color w:val="000000"/>
                <w:sz w:val="19"/>
              </w:rPr>
            </w:r>
          </w:p>
        </w:tc>
      </w:tr>
      <w:tr>
        <w:trPr>
          <w:cantSplit/>
        </w:trPr>
        <w:tc>
          <w:tcPr>
            <w:tcW w:type="dxa" w:w="4200"/>
          </w:tcPr>
          <w:p>
            <w:pPr>
              <w:spacing w:after="0" w:line="276" w:lineRule="auto"/>
            </w:pPr>
            <w:r>
              <w:rPr>
                <w:rFonts w:ascii="Calibri" w:hAnsi="Calibri" w:eastAsia="STHeiti"/>
                <w:b w:val="0"/>
                <w:color w:val="000000"/>
                <w:sz w:val="19"/>
              </w:rPr>
              <w:t>客服话术、售后与应急联络已就绪</w:t>
            </w:r>
          </w:p>
        </w:tc>
        <w:tc>
          <w:tcPr>
            <w:tcW w:type="dxa" w:w="1500"/>
          </w:tcPr>
          <w:p>
            <w:pPr>
              <w:spacing w:after="0" w:line="276" w:lineRule="auto"/>
            </w:pPr>
            <w:r>
              <w:rPr>
                <w:rFonts w:ascii="Calibri" w:hAnsi="Calibri" w:eastAsia="STHeiti"/>
                <w:b w:val="0"/>
                <w:color w:val="000000"/>
                <w:sz w:val="19"/>
              </w:rPr>
              <w:t>□通过 □不通过</w:t>
            </w:r>
          </w:p>
        </w:tc>
        <w:tc>
          <w:tcPr>
            <w:tcW w:type="dxa" w:w="1860"/>
          </w:tcPr>
          <w:p>
            <w:pPr>
              <w:spacing w:after="0" w:line="276" w:lineRule="auto"/>
            </w:pPr>
            <w:r>
              <w:rPr>
                <w:rFonts w:ascii="Calibri" w:hAnsi="Calibri" w:eastAsia="STHeiti"/>
                <w:b w:val="0"/>
                <w:color w:val="000000"/>
                <w:sz w:val="19"/>
              </w:rPr>
            </w:r>
          </w:p>
        </w:tc>
        <w:tc>
          <w:tcPr>
            <w:tcW w:type="dxa" w:w="1800"/>
          </w:tcPr>
          <w:p>
            <w:pPr>
              <w:spacing w:after="0" w:line="276" w:lineRule="auto"/>
            </w:pPr>
            <w:r>
              <w:rPr>
                <w:rFonts w:ascii="Calibri" w:hAnsi="Calibri" w:eastAsia="STHeiti"/>
                <w:b w:val="0"/>
                <w:color w:val="000000"/>
                <w:sz w:val="19"/>
              </w:rPr>
            </w:r>
          </w:p>
        </w:tc>
      </w:tr>
      <w:tr>
        <w:trPr>
          <w:cantSplit/>
        </w:trPr>
        <w:tc>
          <w:tcPr>
            <w:tcW w:type="dxa" w:w="4200"/>
          </w:tcPr>
          <w:p>
            <w:pPr>
              <w:spacing w:after="0" w:line="276" w:lineRule="auto"/>
            </w:pPr>
            <w:r>
              <w:rPr>
                <w:rFonts w:ascii="Calibri" w:hAnsi="Calibri" w:eastAsia="STHeiti"/>
                <w:b w:val="0"/>
                <w:color w:val="000000"/>
                <w:sz w:val="19"/>
              </w:rPr>
              <w:t>会签条件已落实</w:t>
            </w:r>
          </w:p>
        </w:tc>
        <w:tc>
          <w:tcPr>
            <w:tcW w:type="dxa" w:w="1500"/>
          </w:tcPr>
          <w:p>
            <w:pPr>
              <w:spacing w:after="0" w:line="276" w:lineRule="auto"/>
            </w:pPr>
            <w:r>
              <w:rPr>
                <w:rFonts w:ascii="Calibri" w:hAnsi="Calibri" w:eastAsia="STHeiti"/>
                <w:b w:val="0"/>
                <w:color w:val="000000"/>
                <w:sz w:val="19"/>
              </w:rPr>
              <w:t>□通过 □不通过</w:t>
            </w:r>
          </w:p>
        </w:tc>
        <w:tc>
          <w:tcPr>
            <w:tcW w:type="dxa" w:w="1860"/>
          </w:tcPr>
          <w:p>
            <w:pPr>
              <w:spacing w:after="0" w:line="276" w:lineRule="auto"/>
            </w:pPr>
            <w:r>
              <w:rPr>
                <w:rFonts w:ascii="Calibri" w:hAnsi="Calibri" w:eastAsia="STHeiti"/>
                <w:b w:val="0"/>
                <w:color w:val="000000"/>
                <w:sz w:val="19"/>
              </w:rPr>
            </w:r>
          </w:p>
        </w:tc>
        <w:tc>
          <w:tcPr>
            <w:tcW w:type="dxa" w:w="1800"/>
          </w:tcPr>
          <w:p>
            <w:pPr>
              <w:spacing w:after="0" w:line="276" w:lineRule="auto"/>
            </w:pPr>
            <w:r>
              <w:rPr>
                <w:rFonts w:ascii="Calibri" w:hAnsi="Calibri" w:eastAsia="STHeiti"/>
                <w:b w:val="0"/>
                <w:color w:val="000000"/>
                <w:sz w:val="19"/>
              </w:rPr>
            </w:r>
          </w:p>
        </w:tc>
      </w:tr>
    </w:tbl>
    <w:p>
      <w:pPr>
        <w:spacing w:before="0" w:after="60" w:line="300" w:lineRule="auto"/>
      </w:pP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500"/>
        <w:gridCol w:w="4400"/>
        <w:gridCol w:w="2460"/>
      </w:tblGrid>
      <w:tr>
        <w:trPr>
          <w:cantSplit/>
          <w:tblHeader w:val="true"/>
        </w:trPr>
        <w:tc>
          <w:tcPr>
            <w:tcW w:type="dxa" w:w="25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验收会签</w:t>
            </w:r>
          </w:p>
        </w:tc>
        <w:tc>
          <w:tcPr>
            <w:tcW w:type="dxa" w:w="44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结论</w:t>
            </w:r>
          </w:p>
        </w:tc>
        <w:tc>
          <w:tcPr>
            <w:tcW w:type="dxa" w:w="24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签名/日期</w:t>
            </w:r>
          </w:p>
        </w:tc>
      </w:tr>
      <w:tr>
        <w:trPr>
          <w:cantSplit/>
        </w:trPr>
        <w:tc>
          <w:tcPr>
            <w:tcW w:type="dxa" w:w="2500"/>
          </w:tcPr>
          <w:p>
            <w:pPr>
              <w:spacing w:after="0" w:line="276" w:lineRule="auto"/>
            </w:pPr>
            <w:r>
              <w:rPr>
                <w:rFonts w:ascii="Calibri" w:hAnsi="Calibri" w:eastAsia="STHeiti"/>
                <w:b w:val="0"/>
                <w:color w:val="000000"/>
                <w:sz w:val="19"/>
              </w:rPr>
              <w:t>收益/财务</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法务合规</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信息技术</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客服/运行</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销售/渠道</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中心总经理上线批准</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bl>
    <w:p>
      <w:pPr>
        <w:spacing w:before="0" w:after="60" w:line="300" w:lineRule="auto"/>
      </w:pPr>
    </w:p>
    <w:p>
      <w:pPr>
        <w:pStyle w:val="Heading2"/>
        <w:keepNext/>
      </w:pPr>
      <w:r>
        <w:rPr>
          <w:rFonts w:ascii="Calibri" w:hAnsi="Calibri" w:eastAsia="STHeiti"/>
          <w:b/>
          <w:color w:val="2E74B5"/>
          <w:sz w:val="26"/>
        </w:rPr>
        <w:t>附表5  产品运营月度复盘报告</w:t>
      </w:r>
    </w:p>
    <w:p>
      <w:pPr>
        <w:spacing w:before="0" w:after="120" w:line="300" w:lineRule="auto"/>
      </w:pPr>
      <w:r>
        <w:rPr>
          <w:rFonts w:ascii="Calibri" w:hAnsi="Calibri" w:eastAsia="STHeiti"/>
          <w:b w:val="0"/>
          <w:color w:val="5B6573"/>
          <w:sz w:val="20"/>
        </w:rPr>
        <w:t>用途：形成经营复盘、风险和纠偏动作。</w:t>
      </w: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c>
          <w:tcPr>
            <w:tcW w:type="dxa" w:w="2100"/>
            <w:shd w:fill="F2F4F7"/>
          </w:tcPr>
          <w:p>
            <w:pPr>
              <w:spacing w:after="0"/>
            </w:pPr>
            <w:r>
              <w:rPr>
                <w:rFonts w:ascii="Calibri" w:hAnsi="Calibri" w:eastAsia="STHeiti"/>
                <w:b/>
                <w:color w:val="0B2545"/>
                <w:sz w:val="19"/>
              </w:rPr>
              <w:t>产品信息</w:t>
            </w:r>
          </w:p>
        </w:tc>
        <w:tc>
          <w:tcPr>
            <w:tcW w:type="dxa" w:w="7260"/>
          </w:tcPr>
          <w:p>
            <w:pPr>
              <w:spacing w:after="0"/>
            </w:pPr>
            <w:r>
              <w:rPr>
                <w:rFonts w:ascii="Calibri" w:hAnsi="Calibri" w:eastAsia="STHeiti"/>
                <w:b w:val="0"/>
                <w:color w:val="000000"/>
                <w:sz w:val="19"/>
              </w:rPr>
              <w:t>产品编号：__________  产品名称：__________  报告期间：__________  负责人：__________</w:t>
            </w:r>
          </w:p>
        </w:tc>
      </w:tr>
    </w:tbl>
    <w:p>
      <w:pPr>
        <w:spacing w:before="0" w:after="60" w:line="300" w:lineRule="auto"/>
      </w:pP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1950"/>
        <w:gridCol w:w="1300"/>
        <w:gridCol w:w="1300"/>
        <w:gridCol w:w="1300"/>
        <w:gridCol w:w="3510"/>
      </w:tblGrid>
      <w:tr>
        <w:trPr>
          <w:cantSplit/>
          <w:tblHeader w:val="true"/>
        </w:trPr>
        <w:tc>
          <w:tcPr>
            <w:tcW w:type="dxa" w:w="195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指标</w:t>
            </w:r>
          </w:p>
        </w:tc>
        <w:tc>
          <w:tcPr>
            <w:tcW w:type="dxa" w:w="13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本月</w:t>
            </w:r>
          </w:p>
        </w:tc>
        <w:tc>
          <w:tcPr>
            <w:tcW w:type="dxa" w:w="13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目标</w:t>
            </w:r>
          </w:p>
        </w:tc>
        <w:tc>
          <w:tcPr>
            <w:tcW w:type="dxa" w:w="13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上月</w:t>
            </w:r>
          </w:p>
        </w:tc>
        <w:tc>
          <w:tcPr>
            <w:tcW w:type="dxa" w:w="351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偏差及原因</w:t>
            </w:r>
          </w:p>
        </w:tc>
      </w:tr>
      <w:tr>
        <w:trPr>
          <w:cantSplit/>
        </w:trPr>
        <w:tc>
          <w:tcPr>
            <w:tcW w:type="dxa" w:w="1950"/>
          </w:tcPr>
          <w:p>
            <w:pPr>
              <w:spacing w:after="0" w:line="276" w:lineRule="auto"/>
            </w:pPr>
            <w:r>
              <w:rPr>
                <w:rFonts w:ascii="Calibri" w:hAnsi="Calibri" w:eastAsia="STHeiti"/>
                <w:b w:val="0"/>
                <w:color w:val="000000"/>
                <w:sz w:val="19"/>
              </w:rPr>
              <w:t>销售额</w:t>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3510"/>
          </w:tcPr>
          <w:p>
            <w:pPr>
              <w:spacing w:after="0" w:line="276" w:lineRule="auto"/>
            </w:pPr>
            <w:r>
              <w:rPr>
                <w:rFonts w:ascii="Calibri" w:hAnsi="Calibri" w:eastAsia="STHeiti"/>
                <w:b w:val="0"/>
                <w:color w:val="000000"/>
                <w:sz w:val="19"/>
              </w:rPr>
            </w:r>
          </w:p>
        </w:tc>
      </w:tr>
      <w:tr>
        <w:trPr>
          <w:cantSplit/>
        </w:trPr>
        <w:tc>
          <w:tcPr>
            <w:tcW w:type="dxa" w:w="1950"/>
          </w:tcPr>
          <w:p>
            <w:pPr>
              <w:spacing w:after="0" w:line="276" w:lineRule="auto"/>
            </w:pPr>
            <w:r>
              <w:rPr>
                <w:rFonts w:ascii="Calibri" w:hAnsi="Calibri" w:eastAsia="STHeiti"/>
                <w:b w:val="0"/>
                <w:color w:val="000000"/>
                <w:sz w:val="19"/>
              </w:rPr>
              <w:t>订单量/旅客量</w:t>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3510"/>
          </w:tcPr>
          <w:p>
            <w:pPr>
              <w:spacing w:after="0" w:line="276" w:lineRule="auto"/>
            </w:pPr>
            <w:r>
              <w:rPr>
                <w:rFonts w:ascii="Calibri" w:hAnsi="Calibri" w:eastAsia="STHeiti"/>
                <w:b w:val="0"/>
                <w:color w:val="000000"/>
                <w:sz w:val="19"/>
              </w:rPr>
            </w:r>
          </w:p>
        </w:tc>
      </w:tr>
      <w:tr>
        <w:trPr>
          <w:cantSplit/>
        </w:trPr>
        <w:tc>
          <w:tcPr>
            <w:tcW w:type="dxa" w:w="1950"/>
          </w:tcPr>
          <w:p>
            <w:pPr>
              <w:spacing w:after="0" w:line="276" w:lineRule="auto"/>
            </w:pPr>
            <w:r>
              <w:rPr>
                <w:rFonts w:ascii="Calibri" w:hAnsi="Calibri" w:eastAsia="STHeiti"/>
                <w:b w:val="0"/>
                <w:color w:val="000000"/>
                <w:sz w:val="19"/>
              </w:rPr>
              <w:t>毛利/贡献利润</w:t>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3510"/>
          </w:tcPr>
          <w:p>
            <w:pPr>
              <w:spacing w:after="0" w:line="276" w:lineRule="auto"/>
            </w:pPr>
            <w:r>
              <w:rPr>
                <w:rFonts w:ascii="Calibri" w:hAnsi="Calibri" w:eastAsia="STHeiti"/>
                <w:b w:val="0"/>
                <w:color w:val="000000"/>
                <w:sz w:val="19"/>
              </w:rPr>
            </w:r>
          </w:p>
        </w:tc>
      </w:tr>
      <w:tr>
        <w:trPr>
          <w:cantSplit/>
        </w:trPr>
        <w:tc>
          <w:tcPr>
            <w:tcW w:type="dxa" w:w="1950"/>
          </w:tcPr>
          <w:p>
            <w:pPr>
              <w:spacing w:after="0" w:line="276" w:lineRule="auto"/>
            </w:pPr>
            <w:r>
              <w:rPr>
                <w:rFonts w:ascii="Calibri" w:hAnsi="Calibri" w:eastAsia="STHeiti"/>
                <w:b w:val="0"/>
                <w:color w:val="000000"/>
                <w:sz w:val="19"/>
              </w:rPr>
              <w:t>客单价/转化率</w:t>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3510"/>
          </w:tcPr>
          <w:p>
            <w:pPr>
              <w:spacing w:after="0" w:line="276" w:lineRule="auto"/>
            </w:pPr>
            <w:r>
              <w:rPr>
                <w:rFonts w:ascii="Calibri" w:hAnsi="Calibri" w:eastAsia="STHeiti"/>
                <w:b w:val="0"/>
                <w:color w:val="000000"/>
                <w:sz w:val="19"/>
              </w:rPr>
            </w:r>
          </w:p>
        </w:tc>
      </w:tr>
      <w:tr>
        <w:trPr>
          <w:cantSplit/>
        </w:trPr>
        <w:tc>
          <w:tcPr>
            <w:tcW w:type="dxa" w:w="1950"/>
          </w:tcPr>
          <w:p>
            <w:pPr>
              <w:spacing w:after="0" w:line="276" w:lineRule="auto"/>
            </w:pPr>
            <w:r>
              <w:rPr>
                <w:rFonts w:ascii="Calibri" w:hAnsi="Calibri" w:eastAsia="STHeiti"/>
                <w:b w:val="0"/>
                <w:color w:val="000000"/>
                <w:sz w:val="19"/>
              </w:rPr>
              <w:t>退款率/投诉率</w:t>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3510"/>
          </w:tcPr>
          <w:p>
            <w:pPr>
              <w:spacing w:after="0" w:line="276" w:lineRule="auto"/>
            </w:pPr>
            <w:r>
              <w:rPr>
                <w:rFonts w:ascii="Calibri" w:hAnsi="Calibri" w:eastAsia="STHeiti"/>
                <w:b w:val="0"/>
                <w:color w:val="000000"/>
                <w:sz w:val="19"/>
              </w:rPr>
            </w:r>
          </w:p>
        </w:tc>
      </w:tr>
      <w:tr>
        <w:trPr>
          <w:cantSplit/>
        </w:trPr>
        <w:tc>
          <w:tcPr>
            <w:tcW w:type="dxa" w:w="1950"/>
          </w:tcPr>
          <w:p>
            <w:pPr>
              <w:spacing w:after="0" w:line="276" w:lineRule="auto"/>
            </w:pPr>
            <w:r>
              <w:rPr>
                <w:rFonts w:ascii="Calibri" w:hAnsi="Calibri" w:eastAsia="STHeiti"/>
                <w:b w:val="0"/>
                <w:color w:val="000000"/>
                <w:sz w:val="19"/>
              </w:rPr>
              <w:t>履约率/满意度</w:t>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1300"/>
          </w:tcPr>
          <w:p>
            <w:pPr>
              <w:spacing w:after="0" w:line="276" w:lineRule="auto"/>
            </w:pPr>
            <w:r>
              <w:rPr>
                <w:rFonts w:ascii="Calibri" w:hAnsi="Calibri" w:eastAsia="STHeiti"/>
                <w:b w:val="0"/>
                <w:color w:val="000000"/>
                <w:sz w:val="19"/>
              </w:rPr>
            </w:r>
          </w:p>
        </w:tc>
        <w:tc>
          <w:tcPr>
            <w:tcW w:type="dxa" w:w="3510"/>
          </w:tcPr>
          <w:p>
            <w:pPr>
              <w:spacing w:after="0" w:line="276" w:lineRule="auto"/>
            </w:pPr>
            <w:r>
              <w:rPr>
                <w:rFonts w:ascii="Calibri" w:hAnsi="Calibri" w:eastAsia="STHeiti"/>
                <w:b w:val="0"/>
                <w:color w:val="000000"/>
                <w:sz w:val="19"/>
              </w:rPr>
            </w:r>
          </w:p>
        </w:tc>
      </w:tr>
    </w:tbl>
    <w:p>
      <w:pPr>
        <w:spacing w:before="0" w:after="60" w:line="300" w:lineRule="auto"/>
      </w:pP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c>
          <w:tcPr>
            <w:tcW w:type="dxa" w:w="2100"/>
            <w:shd w:fill="F2F4F7"/>
          </w:tcPr>
          <w:p>
            <w:pPr>
              <w:spacing w:after="0"/>
            </w:pPr>
            <w:r>
              <w:rPr>
                <w:rFonts w:ascii="Calibri" w:hAnsi="Calibri" w:eastAsia="STHeiti"/>
                <w:b/>
                <w:color w:val="0B2545"/>
                <w:sz w:val="19"/>
              </w:rPr>
              <w:t>重点问题与风险</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纠偏行动</w:t>
            </w:r>
          </w:p>
        </w:tc>
        <w:tc>
          <w:tcPr>
            <w:tcW w:type="dxa" w:w="7260"/>
          </w:tcPr>
          <w:p>
            <w:pPr>
              <w:spacing w:after="0"/>
            </w:pPr>
            <w:r>
              <w:rPr>
                <w:rFonts w:ascii="Calibri" w:hAnsi="Calibri" w:eastAsia="STHeiti"/>
                <w:b w:val="0"/>
                <w:color w:val="000000"/>
                <w:sz w:val="19"/>
              </w:rPr>
              <w:t>事项：________________  责任人：____________  完成日期：____________</w:t>
            </w:r>
          </w:p>
        </w:tc>
      </w:tr>
      <w:tr>
        <w:tc>
          <w:tcPr>
            <w:tcW w:type="dxa" w:w="2100"/>
            <w:shd w:fill="F2F4F7"/>
          </w:tcPr>
          <w:p>
            <w:pPr>
              <w:spacing w:after="0"/>
            </w:pPr>
            <w:r>
              <w:rPr>
                <w:rFonts w:ascii="Calibri" w:hAnsi="Calibri" w:eastAsia="STHeiti"/>
                <w:b/>
                <w:color w:val="0B2545"/>
                <w:sz w:val="19"/>
              </w:rPr>
              <w:t>需升级决策事项</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中心总经理意见</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bl>
    <w:p>
      <w:pPr>
        <w:spacing w:before="0" w:after="60" w:line="300" w:lineRule="auto"/>
      </w:pPr>
    </w:p>
    <w:p>
      <w:pPr>
        <w:pStyle w:val="Heading2"/>
        <w:keepNext/>
      </w:pPr>
      <w:r>
        <w:rPr>
          <w:rFonts w:ascii="Calibri" w:hAnsi="Calibri" w:eastAsia="STHeiti"/>
          <w:b/>
          <w:color w:val="2E74B5"/>
          <w:sz w:val="26"/>
        </w:rPr>
        <w:t>附表6  产品变更/下线申请及评估单</w:t>
      </w:r>
    </w:p>
    <w:p>
      <w:pPr>
        <w:spacing w:before="0" w:after="120" w:line="300" w:lineRule="auto"/>
      </w:pPr>
      <w:r>
        <w:rPr>
          <w:rFonts w:ascii="Calibri" w:hAnsi="Calibri" w:eastAsia="STHeiti"/>
          <w:b w:val="0"/>
          <w:color w:val="5B6573"/>
          <w:sz w:val="20"/>
        </w:rPr>
        <w:t>用途：管理重要变更、停售和退市。</w:t>
      </w: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c>
          <w:tcPr>
            <w:tcW w:type="dxa" w:w="2100"/>
            <w:shd w:fill="F2F4F7"/>
          </w:tcPr>
          <w:p>
            <w:pPr>
              <w:spacing w:after="0"/>
            </w:pPr>
            <w:r>
              <w:rPr>
                <w:rFonts w:ascii="Calibri" w:hAnsi="Calibri" w:eastAsia="STHeiti"/>
                <w:b/>
                <w:color w:val="0B2545"/>
                <w:sz w:val="19"/>
              </w:rPr>
              <w:t>产品信息</w:t>
            </w:r>
          </w:p>
        </w:tc>
        <w:tc>
          <w:tcPr>
            <w:tcW w:type="dxa" w:w="7260"/>
          </w:tcPr>
          <w:p>
            <w:pPr>
              <w:spacing w:after="0"/>
            </w:pPr>
            <w:r>
              <w:rPr>
                <w:rFonts w:ascii="Calibri" w:hAnsi="Calibri" w:eastAsia="STHeiti"/>
                <w:b w:val="0"/>
                <w:color w:val="000000"/>
                <w:sz w:val="19"/>
              </w:rPr>
              <w:t>产品编号：__________  产品名称：__________  当前状态：__________</w:t>
            </w:r>
          </w:p>
        </w:tc>
      </w:tr>
      <w:tr>
        <w:tc>
          <w:tcPr>
            <w:tcW w:type="dxa" w:w="2100"/>
            <w:shd w:fill="F2F4F7"/>
          </w:tcPr>
          <w:p>
            <w:pPr>
              <w:spacing w:after="0"/>
            </w:pPr>
            <w:r>
              <w:rPr>
                <w:rFonts w:ascii="Calibri" w:hAnsi="Calibri" w:eastAsia="STHeiti"/>
                <w:b/>
                <w:color w:val="0B2545"/>
                <w:sz w:val="19"/>
              </w:rPr>
              <w:t>申请类型</w:t>
            </w:r>
          </w:p>
        </w:tc>
        <w:tc>
          <w:tcPr>
            <w:tcW w:type="dxa" w:w="7260"/>
          </w:tcPr>
          <w:p>
            <w:pPr>
              <w:spacing w:after="0"/>
            </w:pPr>
            <w:r>
              <w:rPr>
                <w:rFonts w:ascii="Calibri" w:hAnsi="Calibri" w:eastAsia="STHeiti"/>
                <w:b w:val="0"/>
                <w:color w:val="000000"/>
                <w:sz w:val="19"/>
              </w:rPr>
              <w:t>□重要变更  □暂停销售  □下线/退市</w:t>
            </w:r>
          </w:p>
        </w:tc>
      </w:tr>
      <w:tr>
        <w:tc>
          <w:tcPr>
            <w:tcW w:type="dxa" w:w="2100"/>
            <w:shd w:fill="F2F4F7"/>
          </w:tcPr>
          <w:p>
            <w:pPr>
              <w:spacing w:after="0"/>
            </w:pPr>
            <w:r>
              <w:rPr>
                <w:rFonts w:ascii="Calibri" w:hAnsi="Calibri" w:eastAsia="STHeiti"/>
                <w:b/>
                <w:color w:val="0B2545"/>
                <w:sz w:val="19"/>
              </w:rPr>
              <w:t>申请原因与方案</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客户及存量订单影响</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供应商/渠道/系统影响</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财务、合规与风险影响</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实施计划与完成日期</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bl>
    <w:p>
      <w:pPr>
        <w:spacing w:before="0" w:after="60" w:line="300" w:lineRule="auto"/>
      </w:pP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500"/>
        <w:gridCol w:w="4400"/>
        <w:gridCol w:w="2460"/>
      </w:tblGrid>
      <w:tr>
        <w:trPr>
          <w:cantSplit/>
          <w:tblHeader w:val="true"/>
        </w:trPr>
        <w:tc>
          <w:tcPr>
            <w:tcW w:type="dxa" w:w="25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会签部门</w:t>
            </w:r>
          </w:p>
        </w:tc>
        <w:tc>
          <w:tcPr>
            <w:tcW w:type="dxa" w:w="44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意见</w:t>
            </w:r>
          </w:p>
        </w:tc>
        <w:tc>
          <w:tcPr>
            <w:tcW w:type="dxa" w:w="24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签名/日期</w:t>
            </w:r>
          </w:p>
        </w:tc>
      </w:tr>
      <w:tr>
        <w:trPr>
          <w:cantSplit/>
        </w:trPr>
        <w:tc>
          <w:tcPr>
            <w:tcW w:type="dxa" w:w="2500"/>
          </w:tcPr>
          <w:p>
            <w:pPr>
              <w:spacing w:after="0" w:line="276" w:lineRule="auto"/>
            </w:pPr>
            <w:r>
              <w:rPr>
                <w:rFonts w:ascii="Calibri" w:hAnsi="Calibri" w:eastAsia="STHeiti"/>
                <w:b w:val="0"/>
                <w:color w:val="000000"/>
                <w:sz w:val="19"/>
              </w:rPr>
              <w:t>收益/财务</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法务合规</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信息技术</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客服/运行/供应商管理</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销售/渠道</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中心总经理审批</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VPCM审阅（如适用）</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bl>
    <w:p>
      <w:pPr>
        <w:spacing w:before="0" w:after="60" w:line="300" w:lineRule="auto"/>
      </w:pPr>
    </w:p>
    <w:p>
      <w:pPr>
        <w:pStyle w:val="Heading2"/>
        <w:keepNext/>
      </w:pPr>
      <w:r>
        <w:rPr>
          <w:rFonts w:ascii="Calibri" w:hAnsi="Calibri" w:eastAsia="STHeiti"/>
          <w:b/>
          <w:color w:val="2E74B5"/>
          <w:sz w:val="26"/>
        </w:rPr>
        <w:t>附表7  商业模式创新试点申请书</w:t>
      </w:r>
    </w:p>
    <w:p>
      <w:pPr>
        <w:spacing w:before="0" w:after="120" w:line="300" w:lineRule="auto"/>
      </w:pPr>
      <w:r>
        <w:rPr>
          <w:rFonts w:ascii="Calibri" w:hAnsi="Calibri" w:eastAsia="STHeiti"/>
          <w:b w:val="0"/>
          <w:color w:val="5B6573"/>
          <w:sz w:val="20"/>
        </w:rPr>
        <w:t>用途：申请一般、重要或重大创新试点。</w:t>
      </w: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c>
          <w:tcPr>
            <w:tcW w:type="dxa" w:w="2100"/>
            <w:shd w:fill="F2F4F7"/>
          </w:tcPr>
          <w:p>
            <w:pPr>
              <w:spacing w:after="0"/>
            </w:pPr>
            <w:r>
              <w:rPr>
                <w:rFonts w:ascii="Calibri" w:hAnsi="Calibri" w:eastAsia="STHeiti"/>
                <w:b/>
                <w:color w:val="0B2545"/>
                <w:sz w:val="19"/>
              </w:rPr>
              <w:t>创新名称及负责人</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拟验证假设与客户价值</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创新内容</w:t>
            </w:r>
          </w:p>
        </w:tc>
        <w:tc>
          <w:tcPr>
            <w:tcW w:type="dxa" w:w="7260"/>
          </w:tcPr>
          <w:p>
            <w:pPr>
              <w:spacing w:after="0"/>
            </w:pPr>
            <w:r>
              <w:rPr>
                <w:rFonts w:ascii="Calibri" w:hAnsi="Calibri" w:eastAsia="STHeiti"/>
                <w:b w:val="0"/>
                <w:color w:val="000000"/>
                <w:sz w:val="19"/>
              </w:rPr>
              <w:t>□产品组合 □定价/结算 □渠道合作 □会员权益 □交付方式 □其他：__________</w:t>
            </w:r>
          </w:p>
        </w:tc>
      </w:tr>
      <w:tr>
        <w:tc>
          <w:tcPr>
            <w:tcW w:type="dxa" w:w="2100"/>
            <w:shd w:fill="F2F4F7"/>
          </w:tcPr>
          <w:p>
            <w:pPr>
              <w:spacing w:after="0"/>
            </w:pPr>
            <w:r>
              <w:rPr>
                <w:rFonts w:ascii="Calibri" w:hAnsi="Calibri" w:eastAsia="STHeiti"/>
                <w:b/>
                <w:color w:val="0B2545"/>
                <w:sz w:val="19"/>
              </w:rPr>
              <w:t>试点范围与期限</w:t>
            </w:r>
          </w:p>
        </w:tc>
        <w:tc>
          <w:tcPr>
            <w:tcW w:type="dxa" w:w="7260"/>
          </w:tcPr>
          <w:p>
            <w:pPr>
              <w:spacing w:after="0"/>
            </w:pPr>
            <w:r>
              <w:rPr>
                <w:rFonts w:ascii="Calibri" w:hAnsi="Calibri" w:eastAsia="STHeiti"/>
                <w:b w:val="0"/>
                <w:color w:val="000000"/>
                <w:sz w:val="19"/>
              </w:rPr>
              <w:t>渠道/市场：________________  客群/订单上限：________________  起止日期：________________</w:t>
            </w:r>
          </w:p>
        </w:tc>
      </w:tr>
      <w:tr>
        <w:tc>
          <w:tcPr>
            <w:tcW w:type="dxa" w:w="2100"/>
            <w:shd w:fill="F2F4F7"/>
          </w:tcPr>
          <w:p>
            <w:pPr>
              <w:spacing w:after="0"/>
            </w:pPr>
            <w:r>
              <w:rPr>
                <w:rFonts w:ascii="Calibri" w:hAnsi="Calibri" w:eastAsia="STHeiti"/>
                <w:b/>
                <w:color w:val="0B2545"/>
                <w:sz w:val="19"/>
              </w:rPr>
              <w:t>目标及成功门槛</w:t>
            </w:r>
          </w:p>
        </w:tc>
        <w:tc>
          <w:tcPr>
            <w:tcW w:type="dxa" w:w="7260"/>
          </w:tcPr>
          <w:p>
            <w:pPr>
              <w:spacing w:after="0"/>
            </w:pPr>
            <w:r>
              <w:rPr>
                <w:rFonts w:ascii="Calibri" w:hAnsi="Calibri" w:eastAsia="STHeiti"/>
                <w:b w:val="0"/>
                <w:color w:val="000000"/>
                <w:sz w:val="19"/>
              </w:rPr>
              <w:t>收入/转化/体验/成本等指标：____________________________________________________________</w:t>
            </w:r>
          </w:p>
        </w:tc>
      </w:tr>
      <w:tr>
        <w:tc>
          <w:tcPr>
            <w:tcW w:type="dxa" w:w="2100"/>
            <w:shd w:fill="F2F4F7"/>
          </w:tcPr>
          <w:p>
            <w:pPr>
              <w:spacing w:after="0"/>
            </w:pPr>
            <w:r>
              <w:rPr>
                <w:rFonts w:ascii="Calibri" w:hAnsi="Calibri" w:eastAsia="STHeiti"/>
                <w:b/>
                <w:color w:val="0B2545"/>
                <w:sz w:val="19"/>
              </w:rPr>
              <w:t>投入与资源</w:t>
            </w:r>
          </w:p>
        </w:tc>
        <w:tc>
          <w:tcPr>
            <w:tcW w:type="dxa" w:w="7260"/>
          </w:tcPr>
          <w:p>
            <w:pPr>
              <w:spacing w:after="0"/>
            </w:pPr>
            <w:r>
              <w:rPr>
                <w:rFonts w:ascii="Calibri" w:hAnsi="Calibri" w:eastAsia="STHeiti"/>
                <w:b w:val="0"/>
                <w:color w:val="000000"/>
                <w:sz w:val="19"/>
              </w:rPr>
              <w:t>预算：__________  系统改造：__________  合作方：________________________________________</w:t>
            </w:r>
          </w:p>
        </w:tc>
      </w:tr>
      <w:tr>
        <w:tc>
          <w:tcPr>
            <w:tcW w:type="dxa" w:w="2100"/>
            <w:shd w:fill="F2F4F7"/>
          </w:tcPr>
          <w:p>
            <w:pPr>
              <w:spacing w:after="0"/>
            </w:pPr>
            <w:r>
              <w:rPr>
                <w:rFonts w:ascii="Calibri" w:hAnsi="Calibri" w:eastAsia="STHeiti"/>
                <w:b/>
                <w:color w:val="0B2545"/>
                <w:sz w:val="19"/>
              </w:rPr>
              <w:t>风险分级建议</w:t>
            </w:r>
          </w:p>
        </w:tc>
        <w:tc>
          <w:tcPr>
            <w:tcW w:type="dxa" w:w="7260"/>
          </w:tcPr>
          <w:p>
            <w:pPr>
              <w:spacing w:after="0"/>
            </w:pPr>
            <w:r>
              <w:rPr>
                <w:rFonts w:ascii="Calibri" w:hAnsi="Calibri" w:eastAsia="STHeiti"/>
                <w:b w:val="0"/>
                <w:color w:val="000000"/>
                <w:sz w:val="19"/>
              </w:rPr>
              <w:t>□一般 □重要 □重大；依据：资金投入/客户影响/合规敏感度/系统改造程度</w:t>
            </w:r>
          </w:p>
        </w:tc>
      </w:tr>
      <w:tr>
        <w:tc>
          <w:tcPr>
            <w:tcW w:type="dxa" w:w="2100"/>
            <w:shd w:fill="F2F4F7"/>
          </w:tcPr>
          <w:p>
            <w:pPr>
              <w:spacing w:after="0"/>
            </w:pPr>
            <w:r>
              <w:rPr>
                <w:rFonts w:ascii="Calibri" w:hAnsi="Calibri" w:eastAsia="STHeiti"/>
                <w:b/>
                <w:color w:val="0B2545"/>
                <w:sz w:val="19"/>
              </w:rPr>
              <w:t>风险、客户告知与止损阈值</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退出及存量客户处置预案</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bl>
    <w:p>
      <w:pPr>
        <w:spacing w:before="0" w:after="60" w:line="300" w:lineRule="auto"/>
      </w:pPr>
    </w:p>
    <w:tbl>
      <w:tblPr>
        <w:tblStyle w:val="TableGrid"/>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500"/>
        <w:gridCol w:w="4400"/>
        <w:gridCol w:w="2460"/>
      </w:tblGrid>
      <w:tr>
        <w:trPr>
          <w:cantSplit/>
          <w:tblHeader w:val="true"/>
        </w:trPr>
        <w:tc>
          <w:tcPr>
            <w:tcW w:type="dxa" w:w="25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会签/审批</w:t>
            </w:r>
          </w:p>
        </w:tc>
        <w:tc>
          <w:tcPr>
            <w:tcW w:type="dxa" w:w="440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意见</w:t>
            </w:r>
          </w:p>
        </w:tc>
        <w:tc>
          <w:tcPr>
            <w:tcW w:type="dxa" w:w="2460"/>
            <w:tcMar>
              <w:top w:w="80" w:type="dxa"/>
              <w:start w:w="120" w:type="dxa"/>
              <w:bottom w:w="80" w:type="dxa"/>
              <w:end w:w="120" w:type="dxa"/>
            </w:tcMar>
            <w:vAlign w:val="center"/>
            <w:shd w:fill="E8EEF5"/>
          </w:tcPr>
          <w:p>
            <w:pPr>
              <w:spacing w:after="0"/>
              <w:jc w:val="center"/>
            </w:pPr>
            <w:r>
              <w:rPr>
                <w:rFonts w:ascii="Calibri" w:hAnsi="Calibri" w:eastAsia="STHeiti"/>
                <w:b/>
                <w:color w:val="0B2545"/>
                <w:sz w:val="19"/>
              </w:rPr>
              <w:t>签名/日期</w:t>
            </w:r>
          </w:p>
        </w:tc>
      </w:tr>
      <w:tr>
        <w:trPr>
          <w:cantSplit/>
        </w:trPr>
        <w:tc>
          <w:tcPr>
            <w:tcW w:type="dxa" w:w="2500"/>
          </w:tcPr>
          <w:p>
            <w:pPr>
              <w:spacing w:after="0" w:line="276" w:lineRule="auto"/>
            </w:pPr>
            <w:r>
              <w:rPr>
                <w:rFonts w:ascii="Calibri" w:hAnsi="Calibri" w:eastAsia="STHeiti"/>
                <w:b w:val="0"/>
                <w:color w:val="000000"/>
                <w:sz w:val="19"/>
              </w:rPr>
              <w:t>销售/渠道</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收益/财务</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法务合规</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信息技术</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客服/运行/供应商管理</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中心总经理审批</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r>
        <w:trPr>
          <w:cantSplit/>
        </w:trPr>
        <w:tc>
          <w:tcPr>
            <w:tcW w:type="dxa" w:w="2500"/>
          </w:tcPr>
          <w:p>
            <w:pPr>
              <w:spacing w:after="0" w:line="276" w:lineRule="auto"/>
            </w:pPr>
            <w:r>
              <w:rPr>
                <w:rFonts w:ascii="Calibri" w:hAnsi="Calibri" w:eastAsia="STHeiti"/>
                <w:b w:val="0"/>
                <w:color w:val="000000"/>
                <w:sz w:val="19"/>
              </w:rPr>
              <w:t>VPCM审阅（重大试点）</w:t>
            </w:r>
          </w:p>
        </w:tc>
        <w:tc>
          <w:tcPr>
            <w:tcW w:type="dxa" w:w="4400"/>
          </w:tcPr>
          <w:p>
            <w:pPr>
              <w:spacing w:after="0" w:line="276" w:lineRule="auto"/>
            </w:pPr>
            <w:r>
              <w:rPr>
                <w:rFonts w:ascii="Calibri" w:hAnsi="Calibri" w:eastAsia="STHeiti"/>
                <w:b w:val="0"/>
                <w:color w:val="000000"/>
                <w:sz w:val="19"/>
              </w:rPr>
            </w:r>
          </w:p>
        </w:tc>
        <w:tc>
          <w:tcPr>
            <w:tcW w:type="dxa" w:w="2460"/>
          </w:tcPr>
          <w:p>
            <w:pPr>
              <w:spacing w:after="0" w:line="276" w:lineRule="auto"/>
            </w:pPr>
            <w:r>
              <w:rPr>
                <w:rFonts w:ascii="Calibri" w:hAnsi="Calibri" w:eastAsia="STHeiti"/>
                <w:b w:val="0"/>
                <w:color w:val="000000"/>
                <w:sz w:val="19"/>
              </w:rPr>
            </w:r>
          </w:p>
        </w:tc>
      </w:tr>
    </w:tbl>
    <w:p>
      <w:pPr>
        <w:spacing w:before="0" w:after="60" w:line="300" w:lineRule="auto"/>
      </w:pPr>
    </w:p>
    <w:p>
      <w:pPr>
        <w:pStyle w:val="Heading2"/>
        <w:keepNext/>
      </w:pPr>
      <w:r>
        <w:rPr>
          <w:rFonts w:ascii="Calibri" w:hAnsi="Calibri" w:eastAsia="STHeiti"/>
          <w:b/>
          <w:color w:val="2E74B5"/>
          <w:sz w:val="26"/>
        </w:rPr>
        <w:t>附表8  创新试点中期复盘及结项评估报告</w:t>
      </w:r>
    </w:p>
    <w:p>
      <w:pPr>
        <w:spacing w:before="0" w:after="120" w:line="300" w:lineRule="auto"/>
      </w:pPr>
      <w:r>
        <w:rPr>
          <w:rFonts w:ascii="Calibri" w:hAnsi="Calibri" w:eastAsia="STHeiti"/>
          <w:b w:val="0"/>
          <w:color w:val="5B6573"/>
          <w:sz w:val="20"/>
        </w:rPr>
        <w:t>用途：监控试点执行并作出推广、延试或止损决策。</w:t>
      </w:r>
    </w:p>
    <w:tbl>
      <w:tblPr>
        <w:tblW w:type="dxa" w:w="9360"/>
        <w:jc w:val="left"/>
        <w:tblLayout w:type="fixed"/>
        <w:tblLook w:firstColumn="1" w:firstRow="1" w:lastColumn="0" w:lastRow="0" w:noHBand="0" w:noVBand="1" w:val="04A0"/>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Pr>
      <w:tblGrid>
        <w:gridCol w:w="2100"/>
        <w:gridCol w:w="7260"/>
      </w:tblGrid>
      <w:tr>
        <w:tc>
          <w:tcPr>
            <w:tcW w:type="dxa" w:w="2100"/>
            <w:shd w:fill="F2F4F7"/>
          </w:tcPr>
          <w:p>
            <w:pPr>
              <w:spacing w:after="0"/>
            </w:pPr>
            <w:r>
              <w:rPr>
                <w:rFonts w:ascii="Calibri" w:hAnsi="Calibri" w:eastAsia="STHeiti"/>
                <w:b/>
                <w:color w:val="0B2545"/>
                <w:sz w:val="19"/>
              </w:rPr>
              <w:t>试点信息</w:t>
            </w:r>
          </w:p>
        </w:tc>
        <w:tc>
          <w:tcPr>
            <w:tcW w:type="dxa" w:w="7260"/>
          </w:tcPr>
          <w:p>
            <w:pPr>
              <w:spacing w:after="0"/>
            </w:pPr>
            <w:r>
              <w:rPr>
                <w:rFonts w:ascii="Calibri" w:hAnsi="Calibri" w:eastAsia="STHeiti"/>
                <w:b w:val="0"/>
                <w:color w:val="000000"/>
                <w:sz w:val="19"/>
              </w:rPr>
              <w:t>试点编号：__________  名称：__________  风险等级：__________  期间：__________</w:t>
            </w:r>
          </w:p>
        </w:tc>
      </w:tr>
      <w:tr>
        <w:tc>
          <w:tcPr>
            <w:tcW w:type="dxa" w:w="2100"/>
            <w:shd w:fill="F2F4F7"/>
          </w:tcPr>
          <w:p>
            <w:pPr>
              <w:spacing w:after="0"/>
            </w:pPr>
            <w:r>
              <w:rPr>
                <w:rFonts w:ascii="Calibri" w:hAnsi="Calibri" w:eastAsia="STHeiti"/>
                <w:b/>
                <w:color w:val="0B2545"/>
                <w:sz w:val="19"/>
              </w:rPr>
              <w:t>目标达成情况</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经营与客户体验数据</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风险事件、投诉及合规情况</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成本收益与资源投入</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可复制要素与问题复盘</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结论建议</w:t>
            </w:r>
          </w:p>
        </w:tc>
        <w:tc>
          <w:tcPr>
            <w:tcW w:type="dxa" w:w="7260"/>
          </w:tcPr>
          <w:p>
            <w:pPr>
              <w:spacing w:after="0"/>
            </w:pPr>
            <w:r>
              <w:rPr>
                <w:rFonts w:ascii="Calibri" w:hAnsi="Calibri" w:eastAsia="STHeiti"/>
                <w:b w:val="0"/>
                <w:color w:val="000000"/>
                <w:sz w:val="19"/>
              </w:rPr>
              <w:t>□推广复制  □优化延试  □止损退出</w:t>
              <w:br/>
              <w:t>理由及后续计划：________________________________________________________________</w:t>
            </w:r>
          </w:p>
        </w:tc>
      </w:tr>
      <w:tr>
        <w:tc>
          <w:tcPr>
            <w:tcW w:type="dxa" w:w="2100"/>
            <w:shd w:fill="F2F4F7"/>
          </w:tcPr>
          <w:p>
            <w:pPr>
              <w:spacing w:after="0"/>
            </w:pPr>
            <w:r>
              <w:rPr>
                <w:rFonts w:ascii="Calibri" w:hAnsi="Calibri" w:eastAsia="STHeiti"/>
                <w:b/>
                <w:color w:val="0B2545"/>
                <w:sz w:val="19"/>
              </w:rPr>
              <w:t>产品负责人签名/日期</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中心总经理意见</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r>
        <w:tc>
          <w:tcPr>
            <w:tcW w:type="dxa" w:w="2100"/>
            <w:shd w:fill="F2F4F7"/>
          </w:tcPr>
          <w:p>
            <w:pPr>
              <w:spacing w:after="0"/>
            </w:pPr>
            <w:r>
              <w:rPr>
                <w:rFonts w:ascii="Calibri" w:hAnsi="Calibri" w:eastAsia="STHeiti"/>
                <w:b/>
                <w:color w:val="0B2545"/>
                <w:sz w:val="19"/>
              </w:rPr>
              <w:t>VPCM审阅（重要/重大适用）</w:t>
            </w:r>
          </w:p>
        </w:tc>
        <w:tc>
          <w:tcPr>
            <w:tcW w:type="dxa" w:w="7260"/>
          </w:tcPr>
          <w:p>
            <w:pPr>
              <w:spacing w:after="0"/>
            </w:pPr>
            <w:r>
              <w:rPr>
                <w:rFonts w:ascii="Calibri" w:hAnsi="Calibri" w:eastAsia="STHeiti"/>
                <w:b w:val="0"/>
                <w:color w:val="000000"/>
                <w:sz w:val="19"/>
              </w:rPr>
              <w:t>________________________________________________________________________________</w:t>
            </w:r>
          </w:p>
        </w:tc>
      </w:tr>
    </w:tbl>
    <w:p>
      <w:pPr>
        <w:spacing w:before="0" w:after="60" w:line="300" w:lineRule="auto"/>
      </w:pPr>
    </w:p>
    <w:sectPr w:rsidR="00FC693F" w:rsidRPr="0006063C" w:rsidSect="00034616">
      <w:footerReference w:type="default" r:id="rId9"/>
      <w:headerReference w:type="default" r:id="rId10"/>
      <w:pgSz w:w="12240" w:h="15840"/>
      <w:pgMar w:top="1296"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Calibri" w:hAnsi="Calibri" w:eastAsia="STHeiti"/>
        <w:b w:val="0"/>
        <w:color w:val="5B6573"/>
        <w:sz w:val="17"/>
      </w:rPr>
      <w:t xml:space="preserve">澳门航空辅助营收及澳航假期管理程序  |  受控文件  |  第 </w:t>
    </w:r>
    <w:fldSimple w:instr="PAGE"/>
    <w:r>
      <w:rPr>
        <w:rFonts w:ascii="Calibri" w:hAnsi="Calibri" w:eastAsia="STHeiti"/>
        <w:b w:val="0"/>
        <w:color w:val="5B65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STHeiti"/>
        <w:b w:val="0"/>
        <w:color w:val="5B6573"/>
        <w:sz w:val="17"/>
      </w:rPr>
      <w:t>数字化营销服务中心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STHeiti" w:hAnsi="STHeiti" w:eastAsia="STHeit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STHeiti" w:hAnsi="STHeiti" w:eastAsia="STHeit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STHeiti" w:hAnsi="STHeiti" w:eastAsia="STHeit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THeiti" w:hAnsi="STHeiti" w:eastAsia="STHeit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澳门航空辅助营收及澳航假期管理程序</dc:title>
  <dc:subject>澳航假期产品全生命周期及商业模式创新管理</dc:subject>
  <dc:creator>数字化营销服务中心</dc:creator>
  <cp:keywords/>
  <dc:description>generated by python-docx</dc:description>
  <cp:lastModifiedBy/>
  <cp:revision>1</cp:revision>
  <dcterms:created xsi:type="dcterms:W3CDTF">2013-12-23T23:15:00Z</dcterms:created>
  <dcterms:modified xsi:type="dcterms:W3CDTF">2013-12-23T23:15:00Z</dcterms:modified>
  <cp:category/>
</cp:coreProperties>
</file>