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Title"/>
        <w:jc w:val="left"/>
      </w:pPr>
      <w:r>
        <w:rPr>
          <w:rFonts w:ascii="Arial" w:hAnsi="Arial" w:eastAsia="Arial"/>
        </w:rPr>
        <w:t>Minseok Yu</w:t>
      </w:r>
    </w:p>
    <w:p>
      <w:pPr>
        <w:pStyle w:val="Subtitle"/>
      </w:pPr>
      <w:r>
        <w:t>CrossAngle - GTM Team Internship</w:t>
      </w:r>
    </w:p>
    <w:p>
      <w:pPr>
        <w:spacing w:after="100"/>
      </w:pPr>
      <w:r>
        <w:rPr>
          <w:rFonts w:ascii="Arial" w:hAnsi="Arial" w:eastAsia="Arial"/>
          <w:color w:val="5A5A5A"/>
          <w:sz w:val="20"/>
        </w:rPr>
        <w:t>010-4229-9239  |  [EMAIL]  |  [Portfolio / LinkedIn / Website]</w:t>
      </w:r>
    </w:p>
    <w:p>
      <w:pPr>
        <w:spacing w:after="120"/>
        <w:pBdr>
          <w:bottom w:val="single" w:sz="6" w:space="1" w:color="9DB2C8"/>
        </w:pBdr>
      </w:pPr>
    </w:p>
    <w:p>
      <w:pPr>
        <w:pStyle w:val="Section"/>
      </w:pPr>
      <w:r>
        <w:t>WHY I AM APPLYING</w:t>
      </w:r>
    </w:p>
    <w:p>
      <w:r>
        <w:t>I am applying to CrossAngle's GTM internship because the role sits at the intersection of market understanding, structured content execution, and careful operational support. I am strongest when I take complex product or market information and reorganize it into messages, formats, and update flows that people can actually read and act on. My on-chain learning background gives me context for the Web3 audience, and my project work has trained me to document, refine, and execute content with consistency.</w:t>
      </w:r>
    </w:p>
    <w:p>
      <w:pPr>
        <w:pStyle w:val="Section"/>
      </w:pPr>
      <w:r>
        <w:t>AHEYA - TURNING CHANNEL HYPOTHESES AND FORMATS INTO WORKING MATERIALS</w:t>
      </w:r>
    </w:p>
    <w:p>
      <w:r>
        <w:t>At AHEYA, I did not only write isolated copy. I worked on an external document set that included brand copy, marketing plan, guardrails, product flow, and public whitepaper materials. Through that work, I structured one-liners, hero copy, CTAs, approved and forbidden phrases, channel roles, and repeatable content formats such as creator story, feedback highlight, and public proof story. This taught me that GTM is not only about posting. It is about deciding what message belongs on which surface, how the tone should change by channel, and how to keep the explanation consistent over time.</w:t>
      </w:r>
    </w:p>
    <w:p>
      <w:pPr>
        <w:pStyle w:val="Section"/>
      </w:pPr>
      <w:r>
        <w:t>ANDERSSON BELL - TURNING FEEDBACK INTO PRODUCTION RULES</w:t>
      </w:r>
    </w:p>
    <w:p>
      <w:r>
        <w:t>In the Andersson Bell industry-academic project, I worked through brand analysis, storyboard development, visual asset preparation, and practitioner feedback. An early collage-style direction created tone inconsistency and made revision harder, so I reorganized the structure around fixed-angle cuts and a clearer sequence. What mattered most was not simply making more content, but converting feedback into the next production rule. That habit - structuring feedback into repeatable execution standards - is directly relevant to channel operations, content updates, and profile maintenance work.</w:t>
      </w:r>
    </w:p>
    <w:p>
      <w:pPr>
        <w:pStyle w:val="Section"/>
      </w:pPr>
      <w:r>
        <w:t>HOW I WORK</w:t>
      </w:r>
    </w:p>
    <w:p>
      <w:r>
        <w:t>I work documentation-first. I tend to clarify the goal, constraints, priorities, and hypothesis before execution, then turn feedback into the next clear rule or checklist item. That makes me reliable in recurring tasks where detail matters, such as profile updates, content support, and channel maintenance. At CrossAngle, I want to contribute as someone who can understand market and product context, then help turn that context into readable GTM execution.</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Rule="auto" w:line="259"/>
    </w:pPr>
    <w:rPr>
      <w:rFonts w:ascii="Arial" w:hAnsi="Arial" w:eastAsia="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Title">
    <w:name w:val="Resume Title"/>
    <w:basedOn w:val="Normal"/>
    <w:pPr>
      <w:spacing w:after="0"/>
    </w:pPr>
    <w:rPr>
      <w:rFonts w:ascii="Arial" w:hAnsi="Arial" w:eastAsia="Arial"/>
      <w:b/>
      <w:color w:val="185491"/>
      <w:sz w:val="36"/>
    </w:rPr>
  </w:style>
  <w:style w:type="paragraph" w:customStyle="1" w:styleId="Section">
    <w:name w:val="Section"/>
    <w:basedOn w:val="Normal"/>
    <w:pPr>
      <w:keepNext/>
      <w:spacing w:before="140" w:after="60"/>
    </w:pPr>
    <w:rPr>
      <w:rFonts w:ascii="Arial" w:hAnsi="Arial" w:eastAsia="Arial"/>
      <w:b/>
      <w:color w:val="185491"/>
      <w:sz w:val="21"/>
    </w:rPr>
  </w:style>
  <w:style w:type="paragraph" w:customStyle="1" w:styleId="JobTitle">
    <w:name w:val="JobTitle"/>
    <w:basedOn w:val="Normal"/>
    <w:pPr>
      <w:keepNext/>
      <w:spacing w:before="100" w:after="20"/>
    </w:pPr>
    <w:rPr>
      <w:rFonts w:ascii="Arial" w:hAnsi="Arial" w:eastAsia="Arial"/>
      <w:b/>
      <w:color w:val="222222"/>
      <w:sz w:val="21"/>
    </w:rPr>
  </w:style>
  <w:style w:type="paragraph" w:customStyle="1" w:styleId="BulletCustom">
    <w:name w:val="BulletCustom"/>
    <w:basedOn w:val="Normal"/>
    <w:pPr>
      <w:spacing w:after="30" w:lineRule="auto" w:line="252"/>
      <w:ind w:left="317" w:hanging="173"/>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