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미관측 유형 사기에 대한 오토인코더 기반 하이브리드 모델의 효과 검증</w:t>
      </w:r>
    </w:p>
    <w:p>
      <w:pPr/>
      <w:r>
        <w:t xml:space="preserve">Oct 26, 2026</w:t>
      </w:r>
      <w:r>
        <w:t xml:space="preserve"> · </w:t>
      </w:r>
      <w:r>
        <w:t xml:space="preserve">@yoom</w:t>
      </w:r>
    </w:p>
    <w:p>
      <w:pPr/>
      <w:r>
        <w:rPr>
          <w:b/>
        </w:rPr>
        <w:t xml:space="preserve">오 유 미</w:t>
      </w:r>
    </w:p>
    <w:p>
      <w:pPr/>
      <w:r>
        <w:t xml:space="preserve">방송통신대학원 정보과학과</w:t>
      </w:r>
    </w:p>
    <w:p>
      <w:pPr/>
      <w:r>
        <w:rPr>
          <w:b/>
        </w:rPr>
        <w:t xml:space="preserve">요 약</w:t>
      </w:r>
      <w:r>
        <w:t xml:space="preserve">  신용카드 사기는 수법이 계속 바뀌기 때문에 지도학습 모델은 학습 때 보지 못한 유형의 사기를 놓치기 쉽다. 본 논문에서는 정상 거래만으로 학습하는 오토인코더를 LightGBM과 결합한 하이브리드 모델이 미관측 유형의 사기를 더 잘 탐지하는지 검증한다. IEEE-CIS 사기 탐지 데이터(거래 590,540건, 사기율 3.50%)에서 상품 유형 5개를 하나씩 미관측 유형으로 정하고 그 유형의 사기를 학습에서 제외하였으며, 오토인코더의 에폭은 사기 라벨 없이 선택하고 유형 컬럼에 의한 지름길을 제거하였다. 실험 결과 기존 사기와 구조가 다른 유형 C에서 하이브리드는 PR-AUC를 0.321에서 0.395로 유의하게 높였으나(차이의 95% 신뢰구간 [+0.064, +0.083]), 구조가 비슷한 유형에서는 효과가 작거나 없었다. 또한 관측 유형의 성능이 더 크게 감소하는 교환 관계가 나타났고, 전체 거래 상위 10%를 검토하는 운영 기준에서는 미관측 사기의 탐지가 늘지 않았다. 이는 오토인코더 하이브리드의 효과가 미관측 사기의 구조적 새로움에 달려 있으며, 순위화 성능의 개선이 운영 탐지율의 개선과는 다름을 보여 준다.</w:t>
      </w:r>
    </w:p>
    <w:p>
      <w:pPr/>
      <w:r>
        <w:rPr>
          <w:b/>
        </w:rPr>
        <w:t xml:space="preserve">키워드 :</w:t>
      </w:r>
      <w:r>
        <w:t xml:space="preserve"> 신용카드 사기 탐지, 미관측 사기, 오토인코더, 이상 탐지, LightGBM, 하이브리드 모델</w:t>
      </w:r>
    </w:p>
    <w:p>
      <w:pPr>
        <w:pStyle w:val="Heading2"/>
      </w:pPr>
      <w:r>
        <w:t xml:space="preserve">1. 서 론</w:t>
      </w:r>
    </w:p>
    <w:p>
      <w:pPr/>
      <w:r>
        <w:t xml:space="preserve">지도학습 사기 탐지 모델은 학습 데이터에 라벨로 기록된 사기 패턴은 잘 탐지하지만, 아직 라벨이 쌓이지 않은 새로운 수법의 사기에는 근거가 없다. 사기범은 탐지 규칙에 맞춰 수법을 바꾸므로, 운영 중인 모델은 늘 학습하지 못한 유형의 사기를 마주하게 된다.</w:t>
      </w:r>
    </w:p>
    <w:p>
      <w:pPr/>
      <w:r>
        <w:t xml:space="preserve">오토인코더는 정상 거래만으로 학습하여 정상 패턴에서 벗어난 거래를 복원 오차로 찾는다. 사기 라벨이 필요 없으므로 미관측 사기를 보완할 수 있다고 기대되며, 지도학습 모델과 결합한 하이브리드 구조가 자주 제안된다. 그러나 이 기대를 검증하려면 "모델이 정말 보지 못한 사기"를 실험에서 의도적으로 만들어야 하며, 전체 test 데이터의 평균 성능만으로는 효과를 판단할 수 없다.</w:t>
      </w:r>
    </w:p>
    <w:p>
      <w:pPr/>
      <w:r>
        <w:t xml:space="preserve">본 연구의 질문은 다음과 같다.</w:t>
      </w:r>
    </w:p>
    <w:p>
      <w:pPr>
        <w:pStyle w:val="ListParagraph"/>
        <w:numPr>
          <w:ilvl w:val="0"/>
          <w:numId w:val="2"/>
        </w:numPr>
      </w:pPr>
      <w:r>
        <w:t xml:space="preserve">학습 때 한 유형의 사기를 전혀 보지 못한 상황에서, 오토인코더 하이브리드는 그 유형의 사기를 LightGBM보다 더 잘 탐지하는가?</w:t>
      </w:r>
    </w:p>
    <w:p>
      <w:pPr>
        <w:pStyle w:val="ListParagraph"/>
        <w:numPr>
          <w:ilvl w:val="0"/>
          <w:numId w:val="2"/>
        </w:numPr>
      </w:pPr>
      <w:r>
        <w:t xml:space="preserve">효과가 있다면 어떤 유형에서 나타나며, 이미 아는 유형의 성능은 얼마나 대가로 치르는가?</w:t>
      </w:r>
    </w:p>
    <w:p>
      <w:pPr>
        <w:pStyle w:val="ListParagraph"/>
        <w:numPr>
          <w:ilvl w:val="0"/>
          <w:numId w:val="2"/>
        </w:numPr>
      </w:pPr>
      <w:r>
        <w:t xml:space="preserve">순위화 성능(PR-AUC)의 개선은 고정 검토량을 쓰는 운영 환경의 탐지율로 이어지는가?</w:t>
      </w:r>
    </w:p>
    <w:p>
      <w:pPr/>
      <w:r>
        <w:t xml:space="preserve">본 연구의 기여는 세 가지이다. 첫째, 상품 유형 하나의 사기를 학습에서 제외하는 실험 설계로 미관측 사기를 재현하고, 오토인코더의 에폭 선택에도 사기 라벨을 쓰지 않아 정보 유출을 막았다. 둘째, 유형 컬럼이 "숨긴 유형은 정상"이라는 지름길로 작동함을 확인하고 이를 제거한 조건에서 효과를 측정하였다. 셋째, 효과가 유형의 구조적 차이에 따라 달라지며 순위화 개선이 운영 탐지율로 이어지지 않음을 수치로 제시하였다.</w:t>
      </w:r>
    </w:p>
    <w:p>
      <w:pPr/>
      <w:r>
        <w:t xml:space="preserve">본 논문의 구성은 다음과 같다. 2장에서는 관련 연구를 살펴보고, 3장에서는 데이터와 전처리 과정을 설명한다. 4장에서는 유형 제외 실험의 설계를, 5장에서는 실험 결과를 제시하고, 6장에서는 결과의 의미를 논의한다. 마지막으로 7장에서 결론과 한계를 정리한다.</w:t>
      </w:r>
    </w:p>
    <w:p>
      <w:pPr>
        <w:pStyle w:val="Heading2"/>
      </w:pPr>
      <w:r>
        <w:t xml:space="preserve">2. 관련 연구</w:t>
      </w:r>
    </w:p>
    <w:p>
      <w:pPr>
        <w:pStyle w:val="Heading3"/>
      </w:pPr>
      <w:r>
        <w:t xml:space="preserve">2.1 지도학습 기반 사기 탐지</w:t>
      </w:r>
    </w:p>
    <w:p>
      <w:pPr/>
      <w:r>
        <w:t xml:space="preserve">표 형태의 거래 데이터에서는 그래디언트 부스팅 계열이 널리 쓰인다. LightGBM[1]은 히스토그램 기반 분할로 대규모 데이터를 빠르게 학습하고 결측치를 직접 처리하여, IEEE-CIS 대회[2]에서도 주된 모델이었다. 그러나 지도학습은 라벨로 관측된 패턴만 학습한다는 한계가 있다.</w:t>
      </w:r>
    </w:p>
    <w:p>
      <w:pPr>
        <w:pStyle w:val="Heading3"/>
      </w:pPr>
      <w:r>
        <w:t xml:space="preserve">2.2 오토인코더 이상 탐지</w:t>
      </w:r>
    </w:p>
    <w:p>
      <w:pPr/>
      <w:r>
        <w:t xml:space="preserve">오토인코더[3]는 입력을 저차원으로 압축했다가 복원하도록 학습하며, 정상 데이터로만 학습하면 복원 오차를 이상 점수로 쓸 수 있다. 딥러닝 기반 이상 탐지의 여러 방법은 G. Pang 등[4]이 정리하였으며, 트리 기반의 Isolation Forest[5]도 대표적인 비교 대상이다. 이상 탐지는 라벨 없이 동작하지만, "평소와 다름"이 곧 "사기"는 아니라는 한계가 있다.</w:t>
      </w:r>
    </w:p>
    <w:p>
      <w:pPr>
        <w:pStyle w:val="Heading3"/>
      </w:pPr>
      <w:r>
        <w:t xml:space="preserve">2.3 하이브리드 접근</w:t>
      </w:r>
    </w:p>
    <w:p>
      <w:pPr/>
      <w:r>
        <w:t xml:space="preserve">지도학습 점수와 이상 점수를 결합하면 두 모델의 약점을 서로 보완할 수 있다고 기대된다. 결합 방식으로는 점수의 가중 평균, 이상 점수를 지도학습의 입력 변수로 추가하는 방식(스태킹) 등이 있다.</w:t>
      </w:r>
    </w:p>
    <w:p>
      <w:pPr>
        <w:pStyle w:val="Heading3"/>
      </w:pPr>
      <w:r>
        <w:t xml:space="preserve">2.4 미관측 사기 평가의 어려움</w:t>
      </w:r>
    </w:p>
    <w:p>
      <w:pPr/>
      <w:r>
        <w:t xml:space="preserve">하이브리드의 효과는 보통 전체 test 데이터의 평균 성능으로 보고된다. 이 방식에서는 이미 관측된 사기가 대부분을 차지하므로, 미관측 사기에 대한 효과가 드러나지 않는다. 또한 모델이 의도하지 않은 단서를 이용해 문제를 푸는 지름길 학습[6]은 일부 유형을 숨기는 실험에서 특히 문제가 된다. 불균형 데이터의 평가에는 ROC-AUC보다 PR-AUC가 더 적합하다는 점도 알려져 있다[7].</w:t>
      </w:r>
    </w:p>
    <w:p>
      <w:pPr>
        <w:pStyle w:val="Heading2"/>
      </w:pPr>
      <w:r>
        <w:t xml:space="preserve">3. 데이터 및 전처리</w:t>
      </w:r>
    </w:p>
    <w:p>
      <w:pPr/>
      <w:r>
        <w:t xml:space="preserve">IEEE-CIS 사기 탐지 데이터의 학습용 파일을 사용하였다. 거래 정보(394컬럼)와 기기·신원 정보(41컬럼)를 TransactionID로 병합하여 590,540건, 434컬럼을 얻었으며 사기는 20,663건(3.50%)이다.</w:t>
      </w:r>
    </w:p>
    <w:p>
      <w:pPr>
        <w:pStyle w:val="Heading3"/>
      </w:pPr>
      <w:r>
        <w:t xml:space="preserve">3.1 상품 유형별 특징</w:t>
      </w:r>
    </w:p>
    <w:p>
      <w:pPr/>
      <w:r>
        <w:t xml:space="preserve">주최사는 상품 유형 코드(W, C, R, H, S)의 의미를 공개하지 않았다. 데이터에서 확인된 유형별 특징은 표 1과 같다.</w:t>
      </w:r>
    </w:p>
    <w:p>
      <w:pPr/>
      <w:r>
        <w:t xml:space="preserve">표 1. 상품 유형별 특징 (전체 학습용 데이터)</w:t>
      </w:r>
    </w:p>
    <w:tbl>
      <w:tblPr>
        <w:tblStyle w:val="TableGrid"/>
        <w:tblW w:w="0" w:type="auto"/>
        <w:tblLayout w:type="fixed"/>
        <w:tblLook w:val="04A0" w:firstRow="1" w:lastRow="0" w:firstColumn="0" w:lastColumn="0" w:noHBand="0" w:noVBand="1"/>
      </w:tblPr>
      <w:tblGrid>
        <w:gridCol w:w="720"/>
        <w:gridCol w:w="1028"/>
        <w:gridCol w:w="896"/>
        <w:gridCol w:w="1385"/>
        <w:gridCol w:w="1510"/>
        <w:gridCol w:w="1307"/>
        <w:gridCol w:w="1552"/>
        <w:gridCol w:w="960"/>
      </w:tblGrid>
      <w:tr>
        <w:trPr>
          <w:tblHeader/>
        </w:trPr>
        <w:tc>
          <w:tcPr>
            <w:tcW w:w="720" w:type="dxa"/>
            <w:shd w:val="clear" w:color="auto" w:fill="F2F2F2"/>
          </w:tcPr>
          <w:p>
            <w:pPr/>
            <w:r>
              <w:t xml:space="preserve">유형</w:t>
            </w:r>
          </w:p>
        </w:tc>
        <w:tc>
          <w:tcPr>
            <w:tcW w:w="1028" w:type="dxa"/>
            <w:shd w:val="clear" w:color="auto" w:fill="F2F2F2"/>
          </w:tcPr>
          <w:p>
            <w:pPr/>
            <w:r>
              <w:t xml:space="preserve">거래 수</w:t>
            </w:r>
          </w:p>
        </w:tc>
        <w:tc>
          <w:tcPr>
            <w:tcW w:w="896" w:type="dxa"/>
            <w:shd w:val="clear" w:color="auto" w:fill="F2F2F2"/>
          </w:tcPr>
          <w:p>
            <w:pPr/>
            <w:r>
              <w:t xml:space="preserve">사기율</w:t>
            </w:r>
          </w:p>
        </w:tc>
        <w:tc>
          <w:tcPr>
            <w:tcW w:w="1385" w:type="dxa"/>
            <w:shd w:val="clear" w:color="auto" w:fill="F2F2F2"/>
          </w:tcPr>
          <w:p>
            <w:pPr/>
            <w:r>
              <w:t xml:space="preserve">금액 중앙값 ($)</w:t>
            </w:r>
          </w:p>
        </w:tc>
        <w:tc>
          <w:tcPr>
            <w:tcW w:w="1510" w:type="dxa"/>
            <w:shd w:val="clear" w:color="auto" w:fill="F2F2F2"/>
          </w:tcPr>
          <w:p>
            <w:pPr/>
            <w:r>
              <w:t xml:space="preserve">센트 단위 금액 비율</w:t>
            </w:r>
          </w:p>
        </w:tc>
        <w:tc>
          <w:tcPr>
            <w:tcW w:w="1307" w:type="dxa"/>
            <w:shd w:val="clear" w:color="auto" w:fill="F2F2F2"/>
          </w:tcPr>
          <w:p>
            <w:pPr/>
            <w:r>
              <w:t xml:space="preserve">기기 정보 보유</w:t>
            </w:r>
          </w:p>
        </w:tc>
        <w:tc>
          <w:tcPr>
            <w:tcW w:w="1552" w:type="dxa"/>
            <w:shd w:val="clear" w:color="auto" w:fill="F2F2F2"/>
          </w:tcPr>
          <w:p>
            <w:pPr/>
            <w:r>
              <w:t xml:space="preserve">청구지 주소 보유</w:t>
            </w:r>
          </w:p>
        </w:tc>
        <w:tc>
          <w:tcPr>
            <w:tcW w:w="960" w:type="dxa"/>
            <w:shd w:val="clear" w:color="auto" w:fill="F2F2F2"/>
          </w:tcPr>
          <w:p>
            <w:pPr/>
            <w:r>
              <w:t xml:space="preserve">M 컬럼</w:t>
            </w:r>
          </w:p>
        </w:tc>
      </w:tr>
      <w:tr>
        <w:tc>
          <w:tcPr>
            <w:tcW w:w="720" w:type="dxa"/>
          </w:tcPr>
          <w:p>
            <w:pPr/>
            <w:r>
              <w:t xml:space="preserve">W</w:t>
            </w:r>
          </w:p>
        </w:tc>
        <w:tc>
          <w:tcPr>
            <w:tcW w:w="1028" w:type="dxa"/>
          </w:tcPr>
          <w:p>
            <w:pPr/>
            <w:r>
              <w:t xml:space="preserve">439,670</w:t>
            </w:r>
          </w:p>
        </w:tc>
        <w:tc>
          <w:tcPr>
            <w:tcW w:w="896" w:type="dxa"/>
          </w:tcPr>
          <w:p>
            <w:pPr/>
            <w:r>
              <w:t xml:space="preserve">2.0%</w:t>
            </w:r>
          </w:p>
        </w:tc>
        <w:tc>
          <w:tcPr>
            <w:tcW w:w="1385" w:type="dxa"/>
          </w:tcPr>
          <w:p>
            <w:pPr/>
            <w:r>
              <w:t xml:space="preserve">78.5</w:t>
            </w:r>
          </w:p>
        </w:tc>
        <w:tc>
          <w:tcPr>
            <w:tcW w:w="1510" w:type="dxa"/>
          </w:tcPr>
          <w:p>
            <w:pPr/>
            <w:r>
              <w:t xml:space="preserve">49%</w:t>
            </w:r>
          </w:p>
        </w:tc>
        <w:tc>
          <w:tcPr>
            <w:tcW w:w="1307" w:type="dxa"/>
          </w:tcPr>
          <w:p>
            <w:pPr/>
            <w:r>
              <w:t xml:space="preserve">0%</w:t>
            </w:r>
          </w:p>
        </w:tc>
        <w:tc>
          <w:tcPr>
            <w:tcW w:w="1552" w:type="dxa"/>
          </w:tcPr>
          <w:p>
            <w:pPr/>
            <w:r>
              <w:t xml:space="preserve">99.9%</w:t>
            </w:r>
          </w:p>
        </w:tc>
        <w:tc>
          <w:tcPr>
            <w:tcW w:w="960" w:type="dxa"/>
          </w:tcPr>
          <w:p>
            <w:pPr/>
            <w:r>
              <w:t xml:space="preserve">있음</w:t>
            </w:r>
          </w:p>
        </w:tc>
      </w:tr>
      <w:tr>
        <w:tc>
          <w:tcPr>
            <w:tcW w:w="720" w:type="dxa"/>
          </w:tcPr>
          <w:p>
            <w:pPr/>
            <w:r>
              <w:t xml:space="preserve">C</w:t>
            </w:r>
          </w:p>
        </w:tc>
        <w:tc>
          <w:tcPr>
            <w:tcW w:w="1028" w:type="dxa"/>
          </w:tcPr>
          <w:p>
            <w:pPr/>
            <w:r>
              <w:t xml:space="preserve">68,519</w:t>
            </w:r>
          </w:p>
        </w:tc>
        <w:tc>
          <w:tcPr>
            <w:tcW w:w="896" w:type="dxa"/>
          </w:tcPr>
          <w:p>
            <w:pPr/>
            <w:r>
              <w:t xml:space="preserve">11.7%</w:t>
            </w:r>
          </w:p>
        </w:tc>
        <w:tc>
          <w:tcPr>
            <w:tcW w:w="1385" w:type="dxa"/>
          </w:tcPr>
          <w:p>
            <w:pPr/>
            <w:r>
              <w:t xml:space="preserve">31.2</w:t>
            </w:r>
          </w:p>
        </w:tc>
        <w:tc>
          <w:tcPr>
            <w:tcW w:w="1510" w:type="dxa"/>
          </w:tcPr>
          <w:p>
            <w:pPr/>
            <w:r>
              <w:t xml:space="preserve">99.9%</w:t>
            </w:r>
          </w:p>
        </w:tc>
        <w:tc>
          <w:tcPr>
            <w:tcW w:w="1307" w:type="dxa"/>
          </w:tcPr>
          <w:p>
            <w:pPr/>
            <w:r>
              <w:t xml:space="preserve">89%</w:t>
            </w:r>
          </w:p>
        </w:tc>
        <w:tc>
          <w:tcPr>
            <w:tcW w:w="1552" w:type="dxa"/>
          </w:tcPr>
          <w:p>
            <w:pPr/>
            <w:r>
              <w:t xml:space="preserve">5%</w:t>
            </w:r>
          </w:p>
        </w:tc>
        <w:tc>
          <w:tcPr>
            <w:tcW w:w="960" w:type="dxa"/>
          </w:tcPr>
          <w:p>
            <w:pPr/>
            <w:r>
              <w:t xml:space="preserve">일부</w:t>
            </w:r>
          </w:p>
        </w:tc>
      </w:tr>
      <w:tr>
        <w:tc>
          <w:tcPr>
            <w:tcW w:w="720" w:type="dxa"/>
          </w:tcPr>
          <w:p>
            <w:pPr/>
            <w:r>
              <w:t xml:space="preserve">R</w:t>
            </w:r>
          </w:p>
        </w:tc>
        <w:tc>
          <w:tcPr>
            <w:tcW w:w="1028" w:type="dxa"/>
          </w:tcPr>
          <w:p>
            <w:pPr/>
            <w:r>
              <w:t xml:space="preserve">37,699</w:t>
            </w:r>
          </w:p>
        </w:tc>
        <w:tc>
          <w:tcPr>
            <w:tcW w:w="896" w:type="dxa"/>
          </w:tcPr>
          <w:p>
            <w:pPr/>
            <w:r>
              <w:t xml:space="preserve">3.8%</w:t>
            </w:r>
          </w:p>
        </w:tc>
        <w:tc>
          <w:tcPr>
            <w:tcW w:w="1385" w:type="dxa"/>
          </w:tcPr>
          <w:p>
            <w:pPr/>
            <w:r>
              <w:t xml:space="preserve">125.0</w:t>
            </w:r>
          </w:p>
        </w:tc>
        <w:tc>
          <w:tcPr>
            <w:tcW w:w="1510" w:type="dxa"/>
          </w:tcPr>
          <w:p>
            <w:pPr/>
            <w:r>
              <w:t xml:space="preserve">0%</w:t>
            </w:r>
          </w:p>
        </w:tc>
        <w:tc>
          <w:tcPr>
            <w:tcW w:w="1307" w:type="dxa"/>
          </w:tcPr>
          <w:p>
            <w:pPr/>
            <w:r>
              <w:t xml:space="preserve">97%</w:t>
            </w:r>
          </w:p>
        </w:tc>
        <w:tc>
          <w:tcPr>
            <w:tcW w:w="1552" w:type="dxa"/>
          </w:tcPr>
          <w:p>
            <w:pPr/>
            <w:r>
              <w:t xml:space="preserve">99.9%</w:t>
            </w:r>
          </w:p>
        </w:tc>
        <w:tc>
          <w:tcPr>
            <w:tcW w:w="960" w:type="dxa"/>
          </w:tcPr>
          <w:p>
            <w:pPr/>
            <w:r>
              <w:t xml:space="preserve">없음</w:t>
            </w:r>
          </w:p>
        </w:tc>
      </w:tr>
      <w:tr>
        <w:tc>
          <w:tcPr>
            <w:tcW w:w="720" w:type="dxa"/>
          </w:tcPr>
          <w:p>
            <w:pPr/>
            <w:r>
              <w:t xml:space="preserve">H</w:t>
            </w:r>
          </w:p>
        </w:tc>
        <w:tc>
          <w:tcPr>
            <w:tcW w:w="1028" w:type="dxa"/>
          </w:tcPr>
          <w:p>
            <w:pPr/>
            <w:r>
              <w:t xml:space="preserve">33,024</w:t>
            </w:r>
          </w:p>
        </w:tc>
        <w:tc>
          <w:tcPr>
            <w:tcW w:w="896" w:type="dxa"/>
          </w:tcPr>
          <w:p>
            <w:pPr/>
            <w:r>
              <w:t xml:space="preserve">4.8%</w:t>
            </w:r>
          </w:p>
        </w:tc>
        <w:tc>
          <w:tcPr>
            <w:tcW w:w="1385" w:type="dxa"/>
          </w:tcPr>
          <w:p>
            <w:pPr/>
            <w:r>
              <w:t xml:space="preserve">50.0</w:t>
            </w:r>
          </w:p>
        </w:tc>
        <w:tc>
          <w:tcPr>
            <w:tcW w:w="1510" w:type="dxa"/>
          </w:tcPr>
          <w:p>
            <w:pPr/>
            <w:r>
              <w:t xml:space="preserve">0%</w:t>
            </w:r>
          </w:p>
        </w:tc>
        <w:tc>
          <w:tcPr>
            <w:tcW w:w="1307" w:type="dxa"/>
          </w:tcPr>
          <w:p>
            <w:pPr/>
            <w:r>
              <w:t xml:space="preserve">97%</w:t>
            </w:r>
          </w:p>
        </w:tc>
        <w:tc>
          <w:tcPr>
            <w:tcW w:w="1552" w:type="dxa"/>
          </w:tcPr>
          <w:p>
            <w:pPr/>
            <w:r>
              <w:t xml:space="preserve">99.7%</w:t>
            </w:r>
          </w:p>
        </w:tc>
        <w:tc>
          <w:tcPr>
            <w:tcW w:w="960" w:type="dxa"/>
          </w:tcPr>
          <w:p>
            <w:pPr/>
            <w:r>
              <w:t xml:space="preserve">없음</w:t>
            </w:r>
          </w:p>
        </w:tc>
      </w:tr>
      <w:tr>
        <w:tc>
          <w:tcPr>
            <w:tcW w:w="720" w:type="dxa"/>
          </w:tcPr>
          <w:p>
            <w:pPr/>
            <w:r>
              <w:t xml:space="preserve">S</w:t>
            </w:r>
          </w:p>
        </w:tc>
        <w:tc>
          <w:tcPr>
            <w:tcW w:w="1028" w:type="dxa"/>
          </w:tcPr>
          <w:p>
            <w:pPr/>
            <w:r>
              <w:t xml:space="preserve">11,628</w:t>
            </w:r>
          </w:p>
        </w:tc>
        <w:tc>
          <w:tcPr>
            <w:tcW w:w="896" w:type="dxa"/>
          </w:tcPr>
          <w:p>
            <w:pPr/>
            <w:r>
              <w:t xml:space="preserve">5.9%</w:t>
            </w:r>
          </w:p>
        </w:tc>
        <w:tc>
          <w:tcPr>
            <w:tcW w:w="1385" w:type="dxa"/>
          </w:tcPr>
          <w:p>
            <w:pPr/>
            <w:r>
              <w:t xml:space="preserve">35.0</w:t>
            </w:r>
          </w:p>
        </w:tc>
        <w:tc>
          <w:tcPr>
            <w:tcW w:w="1510" w:type="dxa"/>
          </w:tcPr>
          <w:p>
            <w:pPr/>
            <w:r>
              <w:t xml:space="preserve">0.4%</w:t>
            </w:r>
          </w:p>
        </w:tc>
        <w:tc>
          <w:tcPr>
            <w:tcW w:w="1307" w:type="dxa"/>
          </w:tcPr>
          <w:p>
            <w:pPr/>
            <w:r>
              <w:t xml:space="preserve">97%</w:t>
            </w:r>
          </w:p>
        </w:tc>
        <w:tc>
          <w:tcPr>
            <w:tcW w:w="1552" w:type="dxa"/>
          </w:tcPr>
          <w:p>
            <w:pPr/>
            <w:r>
              <w:t xml:space="preserve">98%</w:t>
            </w:r>
          </w:p>
        </w:tc>
        <w:tc>
          <w:tcPr>
            <w:tcW w:w="960" w:type="dxa"/>
          </w:tcPr>
          <w:p>
            <w:pPr/>
            <w:r>
              <w:t xml:space="preserve">없음</w:t>
            </w:r>
          </w:p>
        </w:tc>
      </w:tr>
    </w:tbl>
    <w:p>
      <w:pPr/>
      <w:r>
        <w:t xml:space="preserve">W는 기기 정보가 없고 정보 일치 여부(M 컬럼)와 독자적인 V 컬럼 그룹을 가지며, C는 금액이 거의 모두 센트 단위이고 청구지 주소가 95% 비어 있다. R, H, S는 금액이 25, 50, 100달러처럼 딱 떨어지고 보유 변수의 구성이 서로 같다. 즉 W와 C는 구조가 독특한 유형이고, R·H·S는 서로 비슷한 유형이다.</w:t>
      </w:r>
    </w:p>
    <w:p>
      <w:pPr>
        <w:pStyle w:val="Heading3"/>
      </w:pPr>
      <w:r>
        <w:t xml:space="preserve">3.2 시간순 분할</w:t>
      </w:r>
    </w:p>
    <w:p>
      <w:pPr/>
      <w:r>
        <w:t xml:space="preserve">과거 거래로 학습하여 미래 거래를 예측하는 실제 상황을 재현하기 위해, TransactionDT 순으로 정렬한 뒤 앞에서부터 60/20/20으로 나누었다. 무작위 분할은 미래 정보가 학습에 섞여 성능을 과대평가하므로 사용하지 않았다.</w:t>
      </w:r>
    </w:p>
    <w:p>
      <w:pPr/>
      <w:r>
        <w:t xml:space="preserve">표 2. 데이터 분할</w:t>
      </w:r>
    </w:p>
    <w:tbl>
      <w:tblPr>
        <w:tblStyle w:val="TableGrid"/>
        <w:tblW w:w="0" w:type="auto"/>
        <w:tblLayout w:type="fixed"/>
        <w:tblLook w:val="04A0" w:firstRow="1" w:lastRow="0" w:firstColumn="0" w:lastColumn="0" w:noHBand="0" w:noVBand="1"/>
      </w:tblPr>
      <w:tblGrid>
        <w:gridCol w:w="1226"/>
        <w:gridCol w:w="3191"/>
        <w:gridCol w:w="1751"/>
        <w:gridCol w:w="1663"/>
        <w:gridCol w:w="1526"/>
      </w:tblGrid>
      <w:tr>
        <w:trPr>
          <w:tblHeader/>
        </w:trPr>
        <w:tc>
          <w:tcPr>
            <w:tcW w:w="1226" w:type="dxa"/>
            <w:shd w:val="clear" w:color="auto" w:fill="F2F2F2"/>
          </w:tcPr>
          <w:p>
            <w:pPr/>
            <w:r>
              <w:t xml:space="preserve">분할</w:t>
            </w:r>
          </w:p>
        </w:tc>
        <w:tc>
          <w:tcPr>
            <w:tcW w:w="3191" w:type="dxa"/>
            <w:shd w:val="clear" w:color="auto" w:fill="F2F2F2"/>
          </w:tcPr>
          <w:p>
            <w:pPr/>
            <w:r>
              <w:t xml:space="preserve">기간 (경과 일수)</w:t>
            </w:r>
          </w:p>
        </w:tc>
        <w:tc>
          <w:tcPr>
            <w:tcW w:w="1751" w:type="dxa"/>
            <w:shd w:val="clear" w:color="auto" w:fill="F2F2F2"/>
          </w:tcPr>
          <w:p>
            <w:pPr/>
            <w:r>
              <w:t xml:space="preserve">거래 수</w:t>
            </w:r>
          </w:p>
        </w:tc>
        <w:tc>
          <w:tcPr>
            <w:tcW w:w="1663" w:type="dxa"/>
            <w:shd w:val="clear" w:color="auto" w:fill="F2F2F2"/>
          </w:tcPr>
          <w:p>
            <w:pPr/>
            <w:r>
              <w:t xml:space="preserve">사기 수</w:t>
            </w:r>
          </w:p>
        </w:tc>
        <w:tc>
          <w:tcPr>
            <w:tcW w:w="1526" w:type="dxa"/>
            <w:shd w:val="clear" w:color="auto" w:fill="F2F2F2"/>
          </w:tcPr>
          <w:p>
            <w:pPr/>
            <w:r>
              <w:t xml:space="preserve">사기율</w:t>
            </w:r>
          </w:p>
        </w:tc>
      </w:tr>
      <w:tr>
        <w:tc>
          <w:tcPr>
            <w:tcW w:w="1226" w:type="dxa"/>
          </w:tcPr>
          <w:p>
            <w:pPr/>
            <w:r>
              <w:t xml:space="preserve">train</w:t>
            </w:r>
          </w:p>
        </w:tc>
        <w:tc>
          <w:tcPr>
            <w:tcW w:w="3191" w:type="dxa"/>
          </w:tcPr>
          <w:p>
            <w:pPr/>
            <w:r>
              <w:t xml:space="preserve">1~101일</w:t>
            </w:r>
          </w:p>
        </w:tc>
        <w:tc>
          <w:tcPr>
            <w:tcW w:w="1751" w:type="dxa"/>
          </w:tcPr>
          <w:p>
            <w:pPr/>
            <w:r>
              <w:t xml:space="preserve">354,324</w:t>
            </w:r>
          </w:p>
        </w:tc>
        <w:tc>
          <w:tcPr>
            <w:tcW w:w="1663" w:type="dxa"/>
          </w:tcPr>
          <w:p>
            <w:pPr/>
            <w:r>
              <w:t xml:space="preserve">11,988</w:t>
            </w:r>
          </w:p>
        </w:tc>
        <w:tc>
          <w:tcPr>
            <w:tcW w:w="1526" w:type="dxa"/>
          </w:tcPr>
          <w:p>
            <w:pPr/>
            <w:r>
              <w:t xml:space="preserve">3.38%</w:t>
            </w:r>
          </w:p>
        </w:tc>
      </w:tr>
      <w:tr>
        <w:tc>
          <w:tcPr>
            <w:tcW w:w="1226" w:type="dxa"/>
          </w:tcPr>
          <w:p>
            <w:pPr/>
            <w:r>
              <w:t xml:space="preserve">val</w:t>
            </w:r>
          </w:p>
        </w:tc>
        <w:tc>
          <w:tcPr>
            <w:tcW w:w="3191" w:type="dxa"/>
          </w:tcPr>
          <w:p>
            <w:pPr/>
            <w:r>
              <w:t xml:space="preserve">101~141일</w:t>
            </w:r>
          </w:p>
        </w:tc>
        <w:tc>
          <w:tcPr>
            <w:tcW w:w="1751" w:type="dxa"/>
          </w:tcPr>
          <w:p>
            <w:pPr/>
            <w:r>
              <w:t xml:space="preserve">118,108</w:t>
            </w:r>
          </w:p>
        </w:tc>
        <w:tc>
          <w:tcPr>
            <w:tcW w:w="1663" w:type="dxa"/>
          </w:tcPr>
          <w:p>
            <w:pPr/>
            <w:r>
              <w:t xml:space="preserve">4,611</w:t>
            </w:r>
          </w:p>
        </w:tc>
        <w:tc>
          <w:tcPr>
            <w:tcW w:w="1526" w:type="dxa"/>
          </w:tcPr>
          <w:p>
            <w:pPr/>
            <w:r>
              <w:t xml:space="preserve">3.90%</w:t>
            </w:r>
          </w:p>
        </w:tc>
      </w:tr>
      <w:tr>
        <w:tc>
          <w:tcPr>
            <w:tcW w:w="1226" w:type="dxa"/>
          </w:tcPr>
          <w:p>
            <w:pPr/>
            <w:r>
              <w:t xml:space="preserve">test</w:t>
            </w:r>
          </w:p>
        </w:tc>
        <w:tc>
          <w:tcPr>
            <w:tcW w:w="3191" w:type="dxa"/>
          </w:tcPr>
          <w:p>
            <w:pPr/>
            <w:r>
              <w:t xml:space="preserve">141~183일</w:t>
            </w:r>
          </w:p>
        </w:tc>
        <w:tc>
          <w:tcPr>
            <w:tcW w:w="1751" w:type="dxa"/>
          </w:tcPr>
          <w:p>
            <w:pPr/>
            <w:r>
              <w:t xml:space="preserve">118,108</w:t>
            </w:r>
          </w:p>
        </w:tc>
        <w:tc>
          <w:tcPr>
            <w:tcW w:w="1663" w:type="dxa"/>
          </w:tcPr>
          <w:p>
            <w:pPr/>
            <w:r>
              <w:t xml:space="preserve">4,064</w:t>
            </w:r>
          </w:p>
        </w:tc>
        <w:tc>
          <w:tcPr>
            <w:tcW w:w="1526" w:type="dxa"/>
          </w:tcPr>
          <w:p>
            <w:pPr/>
            <w:r>
              <w:t xml:space="preserve">3.44%</w:t>
            </w:r>
          </w:p>
        </w:tc>
      </w:tr>
    </w:tbl>
    <w:p>
      <w:pPr>
        <w:pStyle w:val="Heading3"/>
      </w:pPr>
      <w:r>
        <w:t xml:space="preserve">3.3 전처리</w:t>
      </w:r>
    </w:p>
    <w:p>
      <w:pPr/>
      <w:r>
        <w:t xml:space="preserve">결측률이 90%를 넘는 컬럼도 값이 있을 때 사기율이 2~4배 높아(예: D7 14.9% 대 2.7%) 결측 여부 자체가 정보이므로 제거하지 않았다. 결제 금액은 로그 변환(왜도 14.4→0.5)하고, 경과 초에서 시간대와 요일을 만들었다.</w:t>
      </w:r>
    </w:p>
    <w:p>
      <w:pPr/>
      <w:r>
        <w:t xml:space="preserve">범주형 49개(문자열 컬럼과 카드·주소·id_12~38 코드)는 train에서 처음 등장한 순서로 정수 번호를 붙이고, 결측과 처음 보는 값은 0으로 하였다. 빈도 순서 번호와 빈도 변수도 실험하였으나 val 성능이 낮거나 같아 채택하지 않았다. 모델 특성에 맞춰 두 버전을 만들었다.</w:t>
      </w:r>
    </w:p>
    <w:p>
      <w:pPr>
        <w:pStyle w:val="ListParagraph"/>
        <w:numPr>
          <w:ilvl w:val="0"/>
          <w:numId w:val="3"/>
        </w:numPr>
      </w:pPr>
      <w:r>
        <w:rPr>
          <w:b/>
        </w:rPr>
        <w:t xml:space="preserve">tree 버전 (LightGBM용):</w:t>
      </w:r>
      <w:r>
        <w:t xml:space="preserve"> 수치형 384개의 결측치를 그대로 두고 스케일링하지 않았다.</w:t>
      </w:r>
    </w:p>
    <w:p>
      <w:pPr>
        <w:pStyle w:val="ListParagraph"/>
        <w:numPr>
          <w:ilvl w:val="0"/>
          <w:numId w:val="3"/>
        </w:numPr>
      </w:pPr>
      <w:r>
        <w:rPr>
          <w:b/>
        </w:rPr>
        <w:t xml:space="preserve">nn 버전 (오토인코더용):</w:t>
      </w:r>
      <w:r>
        <w:t xml:space="preserve"> 결측치를 train 중앙값으로 채우고 RobustScaler와 부호 유지 로그 변환을 적용하였다. 결측이 있는 수치형 324개를 결측 위치가 같은 것끼리 묶어 결측 표시 컬럼 33개를 추가하였다.</w:t>
      </w:r>
    </w:p>
    <w:p>
      <w:pPr/>
      <w:r>
        <w:t xml:space="preserve">모든 변환의 기준값(범주 번호, 중앙값, 스케일, 결측 그룹)은 train에서만 정하여 데이터 누수를 막았다.</w:t>
      </w:r>
    </w:p>
    <w:p>
      <w:pPr>
        <w:pStyle w:val="Heading2"/>
      </w:pPr>
      <w:r>
        <w:t xml:space="preserve">4. 실험 설계</w:t>
      </w:r>
    </w:p>
    <w:p>
      <w:pPr/>
      <w:r>
        <w:t xml:space="preserve">상품 유형 하나의 사기를 학습에서 제외하고, 그 유형의 test 거래에서 두 모델을 비교하는 유형 제외(Leave-one-type-out) 설계를 사용하였다. 미관측 유형의 사기 정보가 학습, 모델 선택, 결합 가중치 어느 단계에도 들어가지 않도록 하였다.</w:t>
      </w:r>
    </w:p>
    <w:p>
      <w:pPr>
        <w:pStyle w:val="Heading3"/>
      </w:pPr>
      <w:r>
        <w:t xml:space="preserve">4.1 미관측 유형 설정</w:t>
      </w:r>
    </w:p>
    <w:p>
      <w:pPr/>
      <w:r>
        <w:t xml:space="preserve">W, C, R, H, S를 차례로 미관측 유형 T로 정하였다. train과 val에서 T의 사기 거래만 제거하고 T의 정상 거래는 남겨, 운영 중 새 수법을 마주하는 상황을 재현하였다. 제거되는 train 사기는 W 5,155건(43%), C 4,412건(37%), H 1,133건, R 909건, S 379건이다.</w:t>
      </w:r>
    </w:p>
    <w:p>
      <w:pPr>
        <w:pStyle w:val="Heading3"/>
      </w:pPr>
      <w:r>
        <w:t xml:space="preserve">4.2 모델</w:t>
      </w:r>
    </w:p>
    <w:p>
      <w:pPr>
        <w:pStyle w:val="ListParagraph"/>
        <w:numPr>
          <w:ilvl w:val="0"/>
          <w:numId w:val="4"/>
        </w:numPr>
      </w:pPr>
      <w:r>
        <w:rPr>
          <w:b/>
        </w:rPr>
        <w:t xml:space="preserve">LightGBM:</w:t>
      </w:r>
      <w:r>
        <w:t xml:space="preserve"> 학습률 0.05, 잎 256개, 변수·행 샘플링 0.5·0.8, L2 규제 1.0을 사용하고, val ROC-AUC가 200회 연속 개선되지 않으면 멈추었다. 범주 수 20개 이하인 28개 컬럼만 범주형으로 지정하였다(전체 분할 기준 seed 3개 평균 val ROC-AUC 0.9334, 전부 지정 시 0.9253).</w:t>
      </w:r>
    </w:p>
    <w:p>
      <w:pPr>
        <w:pStyle w:val="ListParagraph"/>
        <w:numPr>
          <w:ilvl w:val="0"/>
          <w:numId w:val="4"/>
        </w:numPr>
      </w:pPr>
      <w:r>
        <w:rPr>
          <w:b/>
        </w:rPr>
        <w:t xml:space="preserve">오토인코더:</w:t>
      </w:r>
      <w:r>
        <w:t xml:space="preserve"> 범주형은 임베딩(최대 16차원)으로 입력하고, 수치형 384개와 결측 표시 33개를 256→64→16차원으로 압축했다가 복원하였다. train 정상 거래 342,336건으로 학습하고, 거래별 평균 제곱 복원 오차를 이상 점수로 사용하였다.</w:t>
      </w:r>
    </w:p>
    <w:p>
      <w:pPr>
        <w:pStyle w:val="ListParagraph"/>
        <w:numPr>
          <w:ilvl w:val="0"/>
          <w:numId w:val="4"/>
        </w:numPr>
      </w:pPr>
      <w:r>
        <w:rPr>
          <w:b/>
        </w:rPr>
        <w:t xml:space="preserve">라벨 없는 에폭 선택:</w:t>
      </w:r>
      <w:r>
        <w:t xml:space="preserve"> val 정상 거래의 평균 복원 오차가 가장 작은 에폭을 골랐다(최대 100, 3회 연속 미개선 시 중단). 사기 라벨을 전혀 쓰지 않으므로 오토인코더는 미관측 유형과 무관하며, 선택된 에폭은 53, 32, 54이다.</w:t>
      </w:r>
    </w:p>
    <w:p>
      <w:pPr>
        <w:pStyle w:val="ListParagraph"/>
        <w:numPr>
          <w:ilvl w:val="0"/>
          <w:numId w:val="4"/>
        </w:numPr>
      </w:pPr>
      <w:r>
        <w:rPr>
          <w:b/>
        </w:rPr>
        <w:t xml:space="preserve">상한선:</w:t>
      </w:r>
      <w:r>
        <w:t xml:space="preserve"> 모든 사기로 학습한 LightGBM을 "미관측 유형을 관측했다면"의 참고값으로 사용하였다.</w:t>
      </w:r>
    </w:p>
    <w:p>
      <w:pPr>
        <w:pStyle w:val="Heading3"/>
      </w:pPr>
      <w:r>
        <w:t xml:space="preserve">4.3 결합 방식</w:t>
      </w:r>
    </w:p>
    <w:p>
      <w:pPr/>
      <w:r>
        <w:t xml:space="preserve">두 점수는 범위가 달라 test 전체에서의 순위(0~1)로 바꾼 뒤 결합하였다.</w:t>
      </w:r>
    </w:p>
    <w:p>
      <w:pPr>
        <w:pStyle w:val="Code"/>
      </w:pPr>
      <w:bookmarkStart w:id="1" w:name="bongo_lang_latex_1"/>
      <w:bookmarkEnd w:id="1"/>
      <w:r>
        <w:t xml:space="preserve">s_{hybrid} = (1 - w) \cdot r_{LightGBM} + w \cdot r_{AE}</w:t>
      </w:r>
    </w:p>
    <w:p>
      <w:pPr/>
      <w:r>
        <w:t xml:space="preserve">오토인코더 비중 w는 세 가지로 정하였다. ① 미관측 유형 사기를 뺀 val에서 ROC-AUC가 가장 높은 값(tuned), ② 고정값 0.1, 0.2, 0.3, 0.5, ③ 두 순위의 최댓값(max)이다. 본문의 대표 설정은 w = 0.2이며, 이는 사전 실행 결과를 본 뒤 정한 값이므로 모든 w의 결과를 함께 제시한다.</w:t>
      </w:r>
    </w:p>
    <w:p>
      <w:pPr>
        <w:pStyle w:val="Heading3"/>
      </w:pPr>
      <w:r>
        <w:t xml:space="preserve">4.4 지름길 제거</w:t>
      </w:r>
    </w:p>
    <w:p>
      <w:pPr/>
      <w:r>
        <w:t xml:space="preserve">T의 사기를 제거하면 train에는 T의 정상 거래만 남아, LightGBM이 "ProductCD = T이면 정상"이라는 지름길을 배울 수 있다. 따라서 본문의 주 결과는 ProductCD를 입력에서 제외한 LightGBM으로 얻었고, 포함한 경우와의 비교는 부록 A에 제시한다.</w:t>
      </w:r>
    </w:p>
    <w:p>
      <w:pPr>
        <w:pStyle w:val="Heading3"/>
      </w:pPr>
      <w:r>
        <w:t xml:space="preserve">4.5 평가</w:t>
      </w:r>
    </w:p>
    <w:p>
      <w:pPr>
        <w:pStyle w:val="ListParagraph"/>
        <w:numPr>
          <w:ilvl w:val="0"/>
          <w:numId w:val="5"/>
        </w:numPr>
      </w:pPr>
      <w:r>
        <w:rPr>
          <w:b/>
        </w:rPr>
        <w:t xml:space="preserve">PR-AUC (주 지표):</w:t>
      </w:r>
      <w:r>
        <w:t xml:space="preserve"> test에서 T의 거래만 모아 계산한다. 무작위 순위의 PR-AUC는 그 집단의 사기율과 같으므로, 사기율 대비 배수도 함께 보고한다.</w:t>
      </w:r>
    </w:p>
    <w:p>
      <w:pPr>
        <w:pStyle w:val="ListParagraph"/>
        <w:numPr>
          <w:ilvl w:val="0"/>
          <w:numId w:val="5"/>
        </w:numPr>
      </w:pPr>
      <w:r>
        <w:rPr>
          <w:b/>
        </w:rPr>
        <w:t xml:space="preserve">관측 유형 PR-AUC:</w:t>
      </w:r>
      <w:r>
        <w:t xml:space="preserve"> T가 아닌 거래에서 계산하여 대가를 측정한다.</w:t>
      </w:r>
    </w:p>
    <w:p>
      <w:pPr>
        <w:pStyle w:val="ListParagraph"/>
        <w:numPr>
          <w:ilvl w:val="0"/>
          <w:numId w:val="5"/>
        </w:numPr>
      </w:pPr>
      <w:r>
        <w:rPr>
          <w:b/>
        </w:rPr>
        <w:t xml:space="preserve">검토량 기준 재현율·정밀도:</w:t>
      </w:r>
      <w:r>
        <w:t xml:space="preserve"> test 전체 거래 중 점수 상위 1%, 5%, 10%를 검토한다고 보고, 그 안에 들어온 T의 사기 비율(재현율)과 검토된 T 거래 중 사기 비율(정밀도)을 계산한다.</w:t>
      </w:r>
    </w:p>
    <w:p>
      <w:pPr>
        <w:pStyle w:val="ListParagraph"/>
        <w:numPr>
          <w:ilvl w:val="0"/>
          <w:numId w:val="5"/>
        </w:numPr>
      </w:pPr>
      <w:r>
        <w:rPr>
          <w:b/>
        </w:rPr>
        <w:t xml:space="preserve">반복과 검정:</w:t>
      </w:r>
      <w:r>
        <w:t xml:space="preserve"> seed 3개(42, 7, 2024)로 모든 모델을 학습하였다. seed 평균 점수에서 T의 test 거래를 1,000회 복원 추출하여 "하이브리드 − LightGBM" 차이의 95% 신뢰구간을 구하였다[8].</w:t>
      </w:r>
    </w:p>
    <w:p>
      <w:pPr>
        <w:pStyle w:val="Heading2"/>
      </w:pPr>
      <w:r>
        <w:t xml:space="preserve">5. 실험 결과</w:t>
      </w:r>
    </w:p>
    <w:p>
      <w:pPr/>
      <w:r>
        <w:t xml:space="preserve">하이브리드는 미관측 유형 C와 W에서 PR-AUC를 유의하게 높였고, R·H·S에서는 차이가 작거나 없었다. 이하 결과는 모두 ProductCD를 제외한 설정이다.</w:t>
      </w:r>
    </w:p>
    <w:p>
      <w:pPr>
        <w:pStyle w:val="Heading3"/>
      </w:pPr>
      <w:r>
        <w:t xml:space="preserve">5.1 미관측 유형의 순위화 성능</w:t>
      </w:r>
    </w:p>
    <w:p>
      <w:pPr/>
      <w:r>
        <w:t xml:space="preserve">표 3. 미관측 유형별 PR-AUC (괄호: 무작위 기준선 대비 배수, 하이브리드 w = 0.2, seed 3개 평균 점수)</w:t>
      </w:r>
    </w:p>
    <w:tbl>
      <w:tblPr>
        <w:tblStyle w:val="TableGrid"/>
        <w:tblW w:w="0" w:type="auto"/>
        <w:tblLayout w:type="fixed"/>
        <w:tblLook w:val="04A0" w:firstRow="1" w:lastRow="0" w:firstColumn="0" w:lastColumn="0" w:noHBand="0" w:noVBand="1"/>
      </w:tblPr>
      <w:tblGrid>
        <w:gridCol w:w="498"/>
        <w:gridCol w:w="1305"/>
        <w:gridCol w:w="791"/>
        <w:gridCol w:w="1153"/>
        <w:gridCol w:w="1179"/>
        <w:gridCol w:w="1191"/>
        <w:gridCol w:w="1194"/>
        <w:gridCol w:w="2049"/>
      </w:tblGrid>
      <w:tr>
        <w:trPr>
          <w:tblHeader/>
        </w:trPr>
        <w:tc>
          <w:tcPr>
            <w:tcW w:w="498" w:type="dxa"/>
            <w:shd w:val="clear" w:color="auto" w:fill="F2F2F2"/>
          </w:tcPr>
          <w:p>
            <w:pPr/>
            <w:r>
              <w:t xml:space="preserve">미관측 유형</w:t>
            </w:r>
          </w:p>
        </w:tc>
        <w:tc>
          <w:tcPr>
            <w:tcW w:w="1305" w:type="dxa"/>
            <w:shd w:val="clear" w:color="auto" w:fill="F2F2F2"/>
          </w:tcPr>
          <w:p>
            <w:pPr/>
            <w:r>
              <w:t xml:space="preserve">test 거래 / 사기</w:t>
            </w:r>
          </w:p>
        </w:tc>
        <w:tc>
          <w:tcPr>
            <w:tcW w:w="791" w:type="dxa"/>
            <w:shd w:val="clear" w:color="auto" w:fill="F2F2F2"/>
          </w:tcPr>
          <w:p>
            <w:pPr/>
            <w:r>
              <w:t xml:space="preserve">기준선(사기율)</w:t>
            </w:r>
          </w:p>
        </w:tc>
        <w:tc>
          <w:tcPr>
            <w:tcW w:w="1153" w:type="dxa"/>
            <w:shd w:val="clear" w:color="auto" w:fill="F2F2F2"/>
          </w:tcPr>
          <w:p>
            <w:pPr/>
            <w:r>
              <w:t xml:space="preserve">상한선</w:t>
            </w:r>
          </w:p>
        </w:tc>
        <w:tc>
          <w:tcPr>
            <w:tcW w:w="1179" w:type="dxa"/>
            <w:shd w:val="clear" w:color="auto" w:fill="F2F2F2"/>
          </w:tcPr>
          <w:p>
            <w:pPr/>
            <w:r>
              <w:t xml:space="preserve">오토인코더</w:t>
            </w:r>
          </w:p>
        </w:tc>
        <w:tc>
          <w:tcPr>
            <w:tcW w:w="1191" w:type="dxa"/>
            <w:shd w:val="clear" w:color="auto" w:fill="F2F2F2"/>
          </w:tcPr>
          <w:p>
            <w:pPr/>
            <w:r>
              <w:t xml:space="preserve">LightGBM</w:t>
            </w:r>
          </w:p>
        </w:tc>
        <w:tc>
          <w:tcPr>
            <w:tcW w:w="1194" w:type="dxa"/>
            <w:shd w:val="clear" w:color="auto" w:fill="F2F2F2"/>
          </w:tcPr>
          <w:p>
            <w:pPr/>
            <w:r>
              <w:t xml:space="preserve">하이브리드</w:t>
            </w:r>
          </w:p>
        </w:tc>
        <w:tc>
          <w:tcPr>
            <w:tcW w:w="2049" w:type="dxa"/>
            <w:shd w:val="clear" w:color="auto" w:fill="F2F2F2"/>
          </w:tcPr>
          <w:p>
            <w:pPr/>
            <w:r>
              <w:t xml:space="preserve">차이 [95% CI]</w:t>
            </w:r>
          </w:p>
        </w:tc>
      </w:tr>
      <w:tr>
        <w:tc>
          <w:tcPr>
            <w:tcW w:w="498" w:type="dxa"/>
          </w:tcPr>
          <w:p>
            <w:pPr/>
            <w:r>
              <w:t xml:space="preserve">W</w:t>
            </w:r>
          </w:p>
        </w:tc>
        <w:tc>
          <w:tcPr>
            <w:tcW w:w="1305" w:type="dxa"/>
          </w:tcPr>
          <w:p>
            <w:pPr/>
            <w:r>
              <w:t xml:space="preserve">93,669 / 1,810</w:t>
            </w:r>
          </w:p>
        </w:tc>
        <w:tc>
          <w:tcPr>
            <w:tcW w:w="791" w:type="dxa"/>
          </w:tcPr>
          <w:p>
            <w:pPr/>
            <w:r>
              <w:t xml:space="preserve">0.019</w:t>
            </w:r>
          </w:p>
        </w:tc>
        <w:tc>
          <w:tcPr>
            <w:tcW w:w="1153" w:type="dxa"/>
          </w:tcPr>
          <w:p>
            <w:pPr/>
            <w:r>
              <w:t xml:space="preserve">0.155 (8.0x)</w:t>
            </w:r>
          </w:p>
        </w:tc>
        <w:tc>
          <w:tcPr>
            <w:tcW w:w="1179" w:type="dxa"/>
          </w:tcPr>
          <w:p>
            <w:pPr/>
            <w:r>
              <w:t xml:space="preserve">0.047 (2.4x)</w:t>
            </w:r>
          </w:p>
        </w:tc>
        <w:tc>
          <w:tcPr>
            <w:tcW w:w="1191" w:type="dxa"/>
          </w:tcPr>
          <w:p>
            <w:pPr/>
            <w:r>
              <w:t xml:space="preserve">0.022 (1.1x)</w:t>
            </w:r>
          </w:p>
        </w:tc>
        <w:tc>
          <w:tcPr>
            <w:tcW w:w="1194" w:type="dxa"/>
          </w:tcPr>
          <w:p>
            <w:pPr/>
            <w:r>
              <w:t xml:space="preserve">0.027 (1.4x)</w:t>
            </w:r>
          </w:p>
        </w:tc>
        <w:tc>
          <w:tcPr>
            <w:tcW w:w="2049" w:type="dxa"/>
          </w:tcPr>
          <w:p>
            <w:pPr/>
            <w:r>
              <w:t xml:space="preserve">+0.005 [+0.004, +0.006]</w:t>
            </w:r>
          </w:p>
        </w:tc>
      </w:tr>
      <w:tr>
        <w:tc>
          <w:tcPr>
            <w:tcW w:w="498" w:type="dxa"/>
          </w:tcPr>
          <w:p>
            <w:pPr/>
            <w:r>
              <w:t xml:space="preserve">C</w:t>
            </w:r>
          </w:p>
        </w:tc>
        <w:tc>
          <w:tcPr>
            <w:tcW w:w="1305" w:type="dxa"/>
          </w:tcPr>
          <w:p>
            <w:pPr/>
            <w:r>
              <w:t xml:space="preserve">12,109 / 1,617</w:t>
            </w:r>
          </w:p>
        </w:tc>
        <w:tc>
          <w:tcPr>
            <w:tcW w:w="791" w:type="dxa"/>
          </w:tcPr>
          <w:p>
            <w:pPr/>
            <w:r>
              <w:t xml:space="preserve">0.134</w:t>
            </w:r>
          </w:p>
        </w:tc>
        <w:tc>
          <w:tcPr>
            <w:tcW w:w="1153" w:type="dxa"/>
          </w:tcPr>
          <w:p>
            <w:pPr/>
            <w:r>
              <w:t xml:space="preserve">0.757 (5.7x)</w:t>
            </w:r>
          </w:p>
        </w:tc>
        <w:tc>
          <w:tcPr>
            <w:tcW w:w="1179" w:type="dxa"/>
          </w:tcPr>
          <w:p>
            <w:pPr/>
            <w:r>
              <w:t xml:space="preserve">0.347 (2.6x)</w:t>
            </w:r>
          </w:p>
        </w:tc>
        <w:tc>
          <w:tcPr>
            <w:tcW w:w="1191" w:type="dxa"/>
          </w:tcPr>
          <w:p>
            <w:pPr/>
            <w:r>
              <w:t xml:space="preserve">0.321 (2.4x)</w:t>
            </w:r>
          </w:p>
        </w:tc>
        <w:tc>
          <w:tcPr>
            <w:tcW w:w="1194" w:type="dxa"/>
          </w:tcPr>
          <w:p>
            <w:pPr/>
            <w:r>
              <w:rPr>
                <w:b/>
              </w:rPr>
              <w:t xml:space="preserve">0.395 (3.0x)</w:t>
            </w:r>
          </w:p>
        </w:tc>
        <w:tc>
          <w:tcPr>
            <w:tcW w:w="2049" w:type="dxa"/>
          </w:tcPr>
          <w:p>
            <w:pPr/>
            <w:r>
              <w:rPr>
                <w:b/>
              </w:rPr>
              <w:t xml:space="preserve">+0.074 [+0.064, +0.083]</w:t>
            </w:r>
          </w:p>
        </w:tc>
      </w:tr>
      <w:tr>
        <w:tc>
          <w:tcPr>
            <w:tcW w:w="498" w:type="dxa"/>
          </w:tcPr>
          <w:p>
            <w:pPr/>
            <w:r>
              <w:t xml:space="preserve">R</w:t>
            </w:r>
          </w:p>
        </w:tc>
        <w:tc>
          <w:tcPr>
            <w:tcW w:w="1305" w:type="dxa"/>
          </w:tcPr>
          <w:p>
            <w:pPr/>
            <w:r>
              <w:t xml:space="preserve">5,496 / 257</w:t>
            </w:r>
          </w:p>
        </w:tc>
        <w:tc>
          <w:tcPr>
            <w:tcW w:w="791" w:type="dxa"/>
          </w:tcPr>
          <w:p>
            <w:pPr/>
            <w:r>
              <w:t xml:space="preserve">0.047</w:t>
            </w:r>
          </w:p>
        </w:tc>
        <w:tc>
          <w:tcPr>
            <w:tcW w:w="1153" w:type="dxa"/>
          </w:tcPr>
          <w:p>
            <w:pPr/>
            <w:r>
              <w:t xml:space="preserve">0.825 (17.6x)</w:t>
            </w:r>
          </w:p>
        </w:tc>
        <w:tc>
          <w:tcPr>
            <w:tcW w:w="1179" w:type="dxa"/>
          </w:tcPr>
          <w:p>
            <w:pPr/>
            <w:r>
              <w:t xml:space="preserve">0.268 (5.7x)</w:t>
            </w:r>
          </w:p>
        </w:tc>
        <w:tc>
          <w:tcPr>
            <w:tcW w:w="1191" w:type="dxa"/>
          </w:tcPr>
          <w:p>
            <w:pPr/>
            <w:r>
              <w:t xml:space="preserve">0.704 (15.1x)</w:t>
            </w:r>
          </w:p>
        </w:tc>
        <w:tc>
          <w:tcPr>
            <w:tcW w:w="1194" w:type="dxa"/>
          </w:tcPr>
          <w:p>
            <w:pPr/>
            <w:r>
              <w:t xml:space="preserve">0.718 (15.4x)</w:t>
            </w:r>
          </w:p>
        </w:tc>
        <w:tc>
          <w:tcPr>
            <w:tcW w:w="2049" w:type="dxa"/>
          </w:tcPr>
          <w:p>
            <w:pPr/>
            <w:r>
              <w:t xml:space="preserve">+0.014 [+0.003, +0.027]</w:t>
            </w:r>
          </w:p>
        </w:tc>
      </w:tr>
      <w:tr>
        <w:tc>
          <w:tcPr>
            <w:tcW w:w="498" w:type="dxa"/>
          </w:tcPr>
          <w:p>
            <w:pPr/>
            <w:r>
              <w:t xml:space="preserve">H</w:t>
            </w:r>
          </w:p>
        </w:tc>
        <w:tc>
          <w:tcPr>
            <w:tcW w:w="1305" w:type="dxa"/>
          </w:tcPr>
          <w:p>
            <w:pPr/>
            <w:r>
              <w:t xml:space="preserve">3,333 / 197</w:t>
            </w:r>
          </w:p>
        </w:tc>
        <w:tc>
          <w:tcPr>
            <w:tcW w:w="791" w:type="dxa"/>
          </w:tcPr>
          <w:p>
            <w:pPr/>
            <w:r>
              <w:t xml:space="preserve">0.059</w:t>
            </w:r>
          </w:p>
        </w:tc>
        <w:tc>
          <w:tcPr>
            <w:tcW w:w="1153" w:type="dxa"/>
          </w:tcPr>
          <w:p>
            <w:pPr/>
            <w:r>
              <w:t xml:space="preserve">0.601 (10.2x)</w:t>
            </w:r>
          </w:p>
        </w:tc>
        <w:tc>
          <w:tcPr>
            <w:tcW w:w="1179" w:type="dxa"/>
          </w:tcPr>
          <w:p>
            <w:pPr/>
            <w:r>
              <w:t xml:space="preserve">0.151 (2.6x)</w:t>
            </w:r>
          </w:p>
        </w:tc>
        <w:tc>
          <w:tcPr>
            <w:tcW w:w="1191" w:type="dxa"/>
          </w:tcPr>
          <w:p>
            <w:pPr/>
            <w:r>
              <w:t xml:space="preserve">0.528 (8.9x)</w:t>
            </w:r>
          </w:p>
        </w:tc>
        <w:tc>
          <w:tcPr>
            <w:tcW w:w="1194" w:type="dxa"/>
          </w:tcPr>
          <w:p>
            <w:pPr/>
            <w:r>
              <w:t xml:space="preserve">0.519 (8.8x)</w:t>
            </w:r>
          </w:p>
        </w:tc>
        <w:tc>
          <w:tcPr>
            <w:tcW w:w="2049" w:type="dxa"/>
          </w:tcPr>
          <w:p>
            <w:pPr/>
            <w:r>
              <w:t xml:space="preserve">−0.009 [−0.017, −0.001]</w:t>
            </w:r>
          </w:p>
        </w:tc>
      </w:tr>
      <w:tr>
        <w:tc>
          <w:tcPr>
            <w:tcW w:w="498" w:type="dxa"/>
          </w:tcPr>
          <w:p>
            <w:pPr/>
            <w:r>
              <w:t xml:space="preserve">S</w:t>
            </w:r>
          </w:p>
        </w:tc>
        <w:tc>
          <w:tcPr>
            <w:tcW w:w="1305" w:type="dxa"/>
          </w:tcPr>
          <w:p>
            <w:pPr/>
            <w:r>
              <w:t xml:space="preserve">3,501 / 183</w:t>
            </w:r>
          </w:p>
        </w:tc>
        <w:tc>
          <w:tcPr>
            <w:tcW w:w="791" w:type="dxa"/>
          </w:tcPr>
          <w:p>
            <w:pPr/>
            <w:r>
              <w:t xml:space="preserve">0.052</w:t>
            </w:r>
          </w:p>
        </w:tc>
        <w:tc>
          <w:tcPr>
            <w:tcW w:w="1153" w:type="dxa"/>
          </w:tcPr>
          <w:p>
            <w:pPr/>
            <w:r>
              <w:t xml:space="preserve">0.506 (9.7x)</w:t>
            </w:r>
          </w:p>
        </w:tc>
        <w:tc>
          <w:tcPr>
            <w:tcW w:w="1179" w:type="dxa"/>
          </w:tcPr>
          <w:p>
            <w:pPr/>
            <w:r>
              <w:t xml:space="preserve">0.044 (0.8x)</w:t>
            </w:r>
          </w:p>
        </w:tc>
        <w:tc>
          <w:tcPr>
            <w:tcW w:w="1191" w:type="dxa"/>
          </w:tcPr>
          <w:p>
            <w:pPr/>
            <w:r>
              <w:t xml:space="preserve">0.397 (7.6x)</w:t>
            </w:r>
          </w:p>
        </w:tc>
        <w:tc>
          <w:tcPr>
            <w:tcW w:w="1194" w:type="dxa"/>
          </w:tcPr>
          <w:p>
            <w:pPr/>
            <w:r>
              <w:t xml:space="preserve">0.399 (7.6x)</w:t>
            </w:r>
          </w:p>
        </w:tc>
        <w:tc>
          <w:tcPr>
            <w:tcW w:w="2049" w:type="dxa"/>
          </w:tcPr>
          <w:p>
            <w:pPr/>
            <w:r>
              <w:t xml:space="preserve">+0.001 [−0.004, +0.007]</w:t>
            </w:r>
          </w:p>
        </w:tc>
      </w:tr>
    </w:tbl>
    <w:p>
      <w:pPr/>
      <w:r>
        <w:t xml:space="preserve">C에서는 오토인코더 단독(0.347)도 LightGBM(0.321)보다 높았고, 하이브리드는 두 모델보다 높았다. W는 모든 모델의 점수가 낮으나 개선 방향은 일관되었다. R과 H는 미관측 상태에서도 LightGBM이 상한선의 85~88%를 달성하여 오토인코더가 보킬 여지가 작았다.</w:t>
      </w:r>
    </w:p>
    <w:p>
      <w:pPr/>
      <w:r>
        <w:t xml:space="preserve">val로 고른 가중치(tuned)는 15개 조합 모두 w = 0~0.05였다. val에는 관측 유형의 사기만 남아 오토인코더가 필요 없어 보이기 때문이다. 즉 미관측 사기를 위한 가중치는 관측된 데이터로 정할 수 없다. 두 순위의 최댓값(max)은 모든 유형에서 LightGBM보다 크게 낮았다.</w:t>
      </w:r>
    </w:p>
    <w:p>
      <w:pPr>
        <w:pStyle w:val="Heading3"/>
      </w:pPr>
      <w:r>
        <w:t xml:space="preserve">5.2 관측 유형 성능과의 교환 관계</w:t>
      </w:r>
    </w:p>
    <w:p>
      <w:pPr/>
      <w:r>
        <w:t xml:space="preserve">오토인코더 비중을 높일수록 관측 유형의 PR-AUC는 꼾준히 내려갔고, 미관측 유형의 개선은 w = 0.1~0.2에서 멈추었다(그림 1). w = 0.2에서 미관측 유형 평균은 0.018 오르고 관측 유형 평균은 0.052 내려갔다.</w:t>
      </w:r>
    </w:p>
    <w:p>
      <w:pPr/>
      <w:r>
        <w:drawing>
          <wp:inline distT="0" distB="0" distL="0" distR="0">
            <wp:extent cx="5486400" cy="2824842"/>
            <wp:docPr id="1" name="image1" descr="그림 1. 오토인코더 비중에 따른 미관측·관측 유형 PR-AUC · experiment_unseen.py 결과(unseen_results.csv), 유형 5개 × seed 3개 평균"/>
            <a:graphic xmlns:a="http://schemas.openxmlformats.org/drawingml/2006/main">
              <a:graphicData uri="http://schemas.openxmlformats.org/drawingml/2006/picture">
                <pic:pic xmlns:pic="http://schemas.openxmlformats.org/drawingml/2006/picture">
                  <pic:nvPicPr>
                    <pic:cNvPr id="1" name="image1" descr="그림 1. 오토인코더 비중에 따른 미관측·관측 유형 PR-AUC · experiment_unseen.py 결과(unseen_results.csv), 유형 5개 × seed 3개 평균"/>
                    <pic:cNvPicPr/>
                  </pic:nvPicPr>
                  <pic:blipFill>
                    <a:blip r:embed="rId3"/>
                    <a:stretch>
                      <a:fillRect/>
                    </a:stretch>
                  </pic:blipFill>
                  <pic:spPr>
                    <a:xfrm>
                      <a:off x="0" y="0"/>
                      <a:ext cx="5486400" cy="2824842"/>
                    </a:xfrm>
                    <a:prstGeom prst="rect">
                      <a:avLst/>
                    </a:prstGeom>
                  </pic:spPr>
                </pic:pic>
              </a:graphicData>
            </a:graphic>
          </wp:inline>
        </w:drawing>
      </w:r>
    </w:p>
    <w:p>
      <w:pPr/>
      <w:r>
        <w:t xml:space="preserve">그림 1. 오토인코더 비중에 따른 미관측·관측 유형 PR-AUC · experiment_unseen.py 결과(unseen_results.csv), 유형 5개 × seed 3개 평균</w:t>
      </w:r>
    </w:p>
    <w:p>
      <w:pPr/>
      <w:r>
        <w:t xml:space="preserve">미관측 유형의 이득은 w = 0.1~0.2에서 멈추고 그 이후 줄어드는 반면, 관측 유형의 손실은 w에 따라 계속 커진다.</w:t>
      </w:r>
    </w:p>
    <w:p>
      <w:pPr>
        <w:pStyle w:val="Heading3"/>
      </w:pPr>
      <w:r>
        <w:t xml:space="preserve">5.3 검토량 기준의 탐지</w:t>
      </w:r>
    </w:p>
    <w:p>
      <w:pPr/>
      <w:r>
        <w:t xml:space="preserve">전체 test 거래의 상위 10%(11,811건)를 검토하는 기준에서, 하이브리드는 C와 W의 미관측 사기를 하나도 검토 대상에 올리지 못하였다.</w:t>
      </w:r>
    </w:p>
    <w:p>
      <w:pPr/>
      <w:r>
        <w:t xml:space="preserve">표 4. 전체 거래 상위 10% 검토 시 미관측 유형의 탐지 (seed 3개 평균)</w:t>
      </w:r>
    </w:p>
    <w:tbl>
      <w:tblPr>
        <w:tblStyle w:val="TableGrid"/>
        <w:tblW w:w="0" w:type="auto"/>
        <w:tblLayout w:type="fixed"/>
        <w:tblLook w:val="04A0" w:firstRow="1" w:lastRow="0" w:firstColumn="0" w:lastColumn="0" w:noHBand="0" w:noVBand="1"/>
      </w:tblPr>
      <w:tblGrid>
        <w:gridCol w:w="1955"/>
        <w:gridCol w:w="1844"/>
        <w:gridCol w:w="3085"/>
        <w:gridCol w:w="1237"/>
        <w:gridCol w:w="1237"/>
      </w:tblGrid>
      <w:tr>
        <w:trPr>
          <w:tblHeader/>
        </w:trPr>
        <w:tc>
          <w:tcPr>
            <w:tcW w:w="1955" w:type="dxa"/>
            <w:shd w:val="clear" w:color="auto" w:fill="F2F2F2"/>
          </w:tcPr>
          <w:p>
            <w:pPr/>
            <w:r>
              <w:t xml:space="preserve">미관측 유형</w:t>
            </w:r>
          </w:p>
        </w:tc>
        <w:tc>
          <w:tcPr>
            <w:tcW w:w="1844" w:type="dxa"/>
            <w:shd w:val="clear" w:color="auto" w:fill="F2F2F2"/>
          </w:tcPr>
          <w:p>
            <w:pPr/>
            <w:r>
              <w:t xml:space="preserve">모델</w:t>
            </w:r>
          </w:p>
        </w:tc>
        <w:tc>
          <w:tcPr>
            <w:tcW w:w="3085" w:type="dxa"/>
            <w:shd w:val="clear" w:color="auto" w:fill="F2F2F2"/>
          </w:tcPr>
          <w:p>
            <w:pPr/>
            <w:r>
              <w:t xml:space="preserve">검토된 그 유형 거래</w:t>
            </w:r>
          </w:p>
        </w:tc>
        <w:tc>
          <w:tcPr>
            <w:tcW w:w="1237" w:type="dxa"/>
            <w:shd w:val="clear" w:color="auto" w:fill="F2F2F2"/>
          </w:tcPr>
          <w:p>
            <w:pPr/>
            <w:r>
              <w:t xml:space="preserve">재현율</w:t>
            </w:r>
          </w:p>
        </w:tc>
        <w:tc>
          <w:tcPr>
            <w:tcW w:w="1237" w:type="dxa"/>
            <w:shd w:val="clear" w:color="auto" w:fill="F2F2F2"/>
          </w:tcPr>
          <w:p>
            <w:pPr/>
            <w:r>
              <w:t xml:space="preserve">정밀도</w:t>
            </w:r>
          </w:p>
        </w:tc>
      </w:tr>
      <w:tr>
        <w:tc>
          <w:tcPr>
            <w:tcW w:w="1955" w:type="dxa"/>
          </w:tcPr>
          <w:p>
            <w:pPr/>
            <w:r>
              <w:t xml:space="preserve">C</w:t>
            </w:r>
          </w:p>
        </w:tc>
        <w:tc>
          <w:tcPr>
            <w:tcW w:w="1844" w:type="dxa"/>
          </w:tcPr>
          <w:p>
            <w:pPr/>
            <w:r>
              <w:t xml:space="preserve">LightGBM</w:t>
            </w:r>
          </w:p>
        </w:tc>
        <w:tc>
          <w:tcPr>
            <w:tcW w:w="3085" w:type="dxa"/>
          </w:tcPr>
          <w:p>
            <w:pPr/>
            <w:r>
              <w:t xml:space="preserve">1건</w:t>
            </w:r>
          </w:p>
        </w:tc>
        <w:tc>
          <w:tcPr>
            <w:tcW w:w="1237" w:type="dxa"/>
          </w:tcPr>
          <w:p>
            <w:pPr/>
            <w:r>
              <w:t xml:space="preserve">0%</w:t>
            </w:r>
          </w:p>
        </w:tc>
        <w:tc>
          <w:tcPr>
            <w:tcW w:w="1237" w:type="dxa"/>
          </w:tcPr>
          <w:p>
            <w:pPr/>
            <w:r>
              <w:t xml:space="preserve">–</w:t>
            </w:r>
          </w:p>
        </w:tc>
      </w:tr>
      <w:tr>
        <w:tc>
          <w:tcPr>
            <w:tcW w:w="1955" w:type="dxa"/>
          </w:tcPr>
          <w:p>
            <w:pPr/>
            <w:r>
              <w:t xml:space="preserve">C</w:t>
            </w:r>
          </w:p>
        </w:tc>
        <w:tc>
          <w:tcPr>
            <w:tcW w:w="1844" w:type="dxa"/>
          </w:tcPr>
          <w:p>
            <w:pPr/>
            <w:r>
              <w:t xml:space="preserve">하이브리드</w:t>
            </w:r>
          </w:p>
        </w:tc>
        <w:tc>
          <w:tcPr>
            <w:tcW w:w="3085" w:type="dxa"/>
          </w:tcPr>
          <w:p>
            <w:pPr/>
            <w:r>
              <w:t xml:space="preserve">4건</w:t>
            </w:r>
          </w:p>
        </w:tc>
        <w:tc>
          <w:tcPr>
            <w:tcW w:w="1237" w:type="dxa"/>
          </w:tcPr>
          <w:p>
            <w:pPr/>
            <w:r>
              <w:t xml:space="preserve">0%</w:t>
            </w:r>
          </w:p>
        </w:tc>
        <w:tc>
          <w:tcPr>
            <w:tcW w:w="1237" w:type="dxa"/>
          </w:tcPr>
          <w:p>
            <w:pPr/>
            <w:r>
              <w:t xml:space="preserve">–</w:t>
            </w:r>
          </w:p>
        </w:tc>
      </w:tr>
      <w:tr>
        <w:tc>
          <w:tcPr>
            <w:tcW w:w="1955" w:type="dxa"/>
          </w:tcPr>
          <w:p>
            <w:pPr/>
            <w:r>
              <w:t xml:space="preserve">C</w:t>
            </w:r>
          </w:p>
        </w:tc>
        <w:tc>
          <w:tcPr>
            <w:tcW w:w="1844" w:type="dxa"/>
          </w:tcPr>
          <w:p>
            <w:pPr/>
            <w:r>
              <w:t xml:space="preserve">오토인코더</w:t>
            </w:r>
          </w:p>
        </w:tc>
        <w:tc>
          <w:tcPr>
            <w:tcW w:w="3085" w:type="dxa"/>
          </w:tcPr>
          <w:p>
            <w:pPr/>
            <w:r>
              <w:t xml:space="preserve">4,029건</w:t>
            </w:r>
          </w:p>
        </w:tc>
        <w:tc>
          <w:tcPr>
            <w:tcW w:w="1237" w:type="dxa"/>
          </w:tcPr>
          <w:p>
            <w:pPr/>
            <w:r>
              <w:t xml:space="preserve">71.2%</w:t>
            </w:r>
          </w:p>
        </w:tc>
        <w:tc>
          <w:tcPr>
            <w:tcW w:w="1237" w:type="dxa"/>
          </w:tcPr>
          <w:p>
            <w:pPr/>
            <w:r>
              <w:t xml:space="preserve">28.6%</w:t>
            </w:r>
          </w:p>
        </w:tc>
      </w:tr>
      <w:tr>
        <w:tc>
          <w:tcPr>
            <w:tcW w:w="1955" w:type="dxa"/>
          </w:tcPr>
          <w:p>
            <w:pPr/>
            <w:r>
              <w:t xml:space="preserve">W</w:t>
            </w:r>
          </w:p>
        </w:tc>
        <w:tc>
          <w:tcPr>
            <w:tcW w:w="1844" w:type="dxa"/>
          </w:tcPr>
          <w:p>
            <w:pPr/>
            <w:r>
              <w:t xml:space="preserve">LightGBM</w:t>
            </w:r>
          </w:p>
        </w:tc>
        <w:tc>
          <w:tcPr>
            <w:tcW w:w="3085" w:type="dxa"/>
          </w:tcPr>
          <w:p>
            <w:pPr/>
            <w:r>
              <w:t xml:space="preserve">2건</w:t>
            </w:r>
          </w:p>
        </w:tc>
        <w:tc>
          <w:tcPr>
            <w:tcW w:w="1237" w:type="dxa"/>
          </w:tcPr>
          <w:p>
            <w:pPr/>
            <w:r>
              <w:t xml:space="preserve">0%</w:t>
            </w:r>
          </w:p>
        </w:tc>
        <w:tc>
          <w:tcPr>
            <w:tcW w:w="1237" w:type="dxa"/>
          </w:tcPr>
          <w:p>
            <w:pPr/>
            <w:r>
              <w:t xml:space="preserve">–</w:t>
            </w:r>
          </w:p>
        </w:tc>
      </w:tr>
      <w:tr>
        <w:tc>
          <w:tcPr>
            <w:tcW w:w="1955" w:type="dxa"/>
          </w:tcPr>
          <w:p>
            <w:pPr/>
            <w:r>
              <w:t xml:space="preserve">W</w:t>
            </w:r>
          </w:p>
        </w:tc>
        <w:tc>
          <w:tcPr>
            <w:tcW w:w="1844" w:type="dxa"/>
          </w:tcPr>
          <w:p>
            <w:pPr/>
            <w:r>
              <w:t xml:space="preserve">하이브리드</w:t>
            </w:r>
          </w:p>
        </w:tc>
        <w:tc>
          <w:tcPr>
            <w:tcW w:w="3085" w:type="dxa"/>
          </w:tcPr>
          <w:p>
            <w:pPr/>
            <w:r>
              <w:t xml:space="preserve">15건</w:t>
            </w:r>
          </w:p>
        </w:tc>
        <w:tc>
          <w:tcPr>
            <w:tcW w:w="1237" w:type="dxa"/>
          </w:tcPr>
          <w:p>
            <w:pPr/>
            <w:r>
              <w:t xml:space="preserve">0%</w:t>
            </w:r>
          </w:p>
        </w:tc>
        <w:tc>
          <w:tcPr>
            <w:tcW w:w="1237" w:type="dxa"/>
          </w:tcPr>
          <w:p>
            <w:pPr/>
            <w:r>
              <w:t xml:space="preserve">–</w:t>
            </w:r>
          </w:p>
        </w:tc>
      </w:tr>
      <w:tr>
        <w:tc>
          <w:tcPr>
            <w:tcW w:w="1955" w:type="dxa"/>
          </w:tcPr>
          <w:p>
            <w:pPr/>
            <w:r>
              <w:t xml:space="preserve">W</w:t>
            </w:r>
          </w:p>
        </w:tc>
        <w:tc>
          <w:tcPr>
            <w:tcW w:w="1844" w:type="dxa"/>
          </w:tcPr>
          <w:p>
            <w:pPr/>
            <w:r>
              <w:t xml:space="preserve">오토인코더</w:t>
            </w:r>
          </w:p>
        </w:tc>
        <w:tc>
          <w:tcPr>
            <w:tcW w:w="3085" w:type="dxa"/>
          </w:tcPr>
          <w:p>
            <w:pPr/>
            <w:r>
              <w:t xml:space="preserve">2,957건</w:t>
            </w:r>
          </w:p>
        </w:tc>
        <w:tc>
          <w:tcPr>
            <w:tcW w:w="1237" w:type="dxa"/>
          </w:tcPr>
          <w:p>
            <w:pPr/>
            <w:r>
              <w:t xml:space="preserve">11.7%</w:t>
            </w:r>
          </w:p>
        </w:tc>
        <w:tc>
          <w:tcPr>
            <w:tcW w:w="1237" w:type="dxa"/>
          </w:tcPr>
          <w:p>
            <w:pPr/>
            <w:r>
              <w:t xml:space="preserve">7.2%</w:t>
            </w:r>
          </w:p>
        </w:tc>
      </w:tr>
      <w:tr>
        <w:tc>
          <w:tcPr>
            <w:tcW w:w="1955" w:type="dxa"/>
          </w:tcPr>
          <w:p>
            <w:pPr/>
            <w:r>
              <w:t xml:space="preserve">R</w:t>
            </w:r>
          </w:p>
        </w:tc>
        <w:tc>
          <w:tcPr>
            <w:tcW w:w="1844" w:type="dxa"/>
          </w:tcPr>
          <w:p>
            <w:pPr/>
            <w:r>
              <w:t xml:space="preserve">LightGBM</w:t>
            </w:r>
          </w:p>
        </w:tc>
        <w:tc>
          <w:tcPr>
            <w:tcW w:w="3085" w:type="dxa"/>
          </w:tcPr>
          <w:p>
            <w:pPr/>
            <w:r>
              <w:t xml:space="preserve">213건</w:t>
            </w:r>
          </w:p>
        </w:tc>
        <w:tc>
          <w:tcPr>
            <w:tcW w:w="1237" w:type="dxa"/>
          </w:tcPr>
          <w:p>
            <w:pPr/>
            <w:r>
              <w:t xml:space="preserve">57.8%</w:t>
            </w:r>
          </w:p>
        </w:tc>
        <w:tc>
          <w:tcPr>
            <w:tcW w:w="1237" w:type="dxa"/>
          </w:tcPr>
          <w:p>
            <w:pPr/>
            <w:r>
              <w:t xml:space="preserve">69.9%</w:t>
            </w:r>
          </w:p>
        </w:tc>
      </w:tr>
      <w:tr>
        <w:tc>
          <w:tcPr>
            <w:tcW w:w="1955" w:type="dxa"/>
          </w:tcPr>
          <w:p>
            <w:pPr/>
            <w:r>
              <w:t xml:space="preserve">R</w:t>
            </w:r>
          </w:p>
        </w:tc>
        <w:tc>
          <w:tcPr>
            <w:tcW w:w="1844" w:type="dxa"/>
          </w:tcPr>
          <w:p>
            <w:pPr/>
            <w:r>
              <w:t xml:space="preserve">하이브리드</w:t>
            </w:r>
          </w:p>
        </w:tc>
        <w:tc>
          <w:tcPr>
            <w:tcW w:w="3085" w:type="dxa"/>
          </w:tcPr>
          <w:p>
            <w:pPr/>
            <w:r>
              <w:t xml:space="preserve">242건</w:t>
            </w:r>
          </w:p>
        </w:tc>
        <w:tc>
          <w:tcPr>
            <w:tcW w:w="1237" w:type="dxa"/>
          </w:tcPr>
          <w:p>
            <w:pPr/>
            <w:r>
              <w:t xml:space="preserve">62.9%</w:t>
            </w:r>
          </w:p>
        </w:tc>
        <w:tc>
          <w:tcPr>
            <w:tcW w:w="1237" w:type="dxa"/>
          </w:tcPr>
          <w:p>
            <w:pPr/>
            <w:r>
              <w:t xml:space="preserve">66.7%</w:t>
            </w:r>
          </w:p>
        </w:tc>
      </w:tr>
      <w:tr>
        <w:tc>
          <w:tcPr>
            <w:tcW w:w="1955" w:type="dxa"/>
          </w:tcPr>
          <w:p>
            <w:pPr/>
            <w:r>
              <w:t xml:space="preserve">H</w:t>
            </w:r>
          </w:p>
        </w:tc>
        <w:tc>
          <w:tcPr>
            <w:tcW w:w="1844" w:type="dxa"/>
          </w:tcPr>
          <w:p>
            <w:pPr/>
            <w:r>
              <w:t xml:space="preserve">LightGBM</w:t>
            </w:r>
          </w:p>
        </w:tc>
        <w:tc>
          <w:tcPr>
            <w:tcW w:w="3085" w:type="dxa"/>
          </w:tcPr>
          <w:p>
            <w:pPr/>
            <w:r>
              <w:t xml:space="preserve">110건</w:t>
            </w:r>
          </w:p>
        </w:tc>
        <w:tc>
          <w:tcPr>
            <w:tcW w:w="1237" w:type="dxa"/>
          </w:tcPr>
          <w:p>
            <w:pPr/>
            <w:r>
              <w:t xml:space="preserve">37.9%</w:t>
            </w:r>
          </w:p>
        </w:tc>
        <w:tc>
          <w:tcPr>
            <w:tcW w:w="1237" w:type="dxa"/>
          </w:tcPr>
          <w:p>
            <w:pPr/>
            <w:r>
              <w:t xml:space="preserve">68.1%</w:t>
            </w:r>
          </w:p>
        </w:tc>
      </w:tr>
      <w:tr>
        <w:tc>
          <w:tcPr>
            <w:tcW w:w="1955" w:type="dxa"/>
          </w:tcPr>
          <w:p>
            <w:pPr/>
            <w:r>
              <w:t xml:space="preserve">H</w:t>
            </w:r>
          </w:p>
        </w:tc>
        <w:tc>
          <w:tcPr>
            <w:tcW w:w="1844" w:type="dxa"/>
          </w:tcPr>
          <w:p>
            <w:pPr/>
            <w:r>
              <w:t xml:space="preserve">하이브리드</w:t>
            </w:r>
          </w:p>
        </w:tc>
        <w:tc>
          <w:tcPr>
            <w:tcW w:w="3085" w:type="dxa"/>
          </w:tcPr>
          <w:p>
            <w:pPr/>
            <w:r>
              <w:t xml:space="preserve">148건</w:t>
            </w:r>
          </w:p>
        </w:tc>
        <w:tc>
          <w:tcPr>
            <w:tcW w:w="1237" w:type="dxa"/>
          </w:tcPr>
          <w:p>
            <w:pPr/>
            <w:r>
              <w:t xml:space="preserve">42.3%</w:t>
            </w:r>
          </w:p>
        </w:tc>
        <w:tc>
          <w:tcPr>
            <w:tcW w:w="1237" w:type="dxa"/>
          </w:tcPr>
          <w:p>
            <w:pPr/>
            <w:r>
              <w:t xml:space="preserve">56.3%</w:t>
            </w:r>
          </w:p>
        </w:tc>
      </w:tr>
      <w:tr>
        <w:tc>
          <w:tcPr>
            <w:tcW w:w="1955" w:type="dxa"/>
          </w:tcPr>
          <w:p>
            <w:pPr/>
            <w:r>
              <w:t xml:space="preserve">S</w:t>
            </w:r>
          </w:p>
        </w:tc>
        <w:tc>
          <w:tcPr>
            <w:tcW w:w="1844" w:type="dxa"/>
          </w:tcPr>
          <w:p>
            <w:pPr/>
            <w:r>
              <w:t xml:space="preserve">LightGBM</w:t>
            </w:r>
          </w:p>
        </w:tc>
        <w:tc>
          <w:tcPr>
            <w:tcW w:w="3085" w:type="dxa"/>
          </w:tcPr>
          <w:p>
            <w:pPr/>
            <w:r>
              <w:t xml:space="preserve">64건</w:t>
            </w:r>
          </w:p>
        </w:tc>
        <w:tc>
          <w:tcPr>
            <w:tcW w:w="1237" w:type="dxa"/>
          </w:tcPr>
          <w:p>
            <w:pPr/>
            <w:r>
              <w:t xml:space="preserve">28.6%</w:t>
            </w:r>
          </w:p>
        </w:tc>
        <w:tc>
          <w:tcPr>
            <w:tcW w:w="1237" w:type="dxa"/>
          </w:tcPr>
          <w:p>
            <w:pPr/>
            <w:r>
              <w:t xml:space="preserve">81.9%</w:t>
            </w:r>
          </w:p>
        </w:tc>
      </w:tr>
      <w:tr>
        <w:tc>
          <w:tcPr>
            <w:tcW w:w="1955" w:type="dxa"/>
          </w:tcPr>
          <w:p>
            <w:pPr/>
            <w:r>
              <w:t xml:space="preserve">S</w:t>
            </w:r>
          </w:p>
        </w:tc>
        <w:tc>
          <w:tcPr>
            <w:tcW w:w="1844" w:type="dxa"/>
          </w:tcPr>
          <w:p>
            <w:pPr/>
            <w:r>
              <w:t xml:space="preserve">하이브리드</w:t>
            </w:r>
          </w:p>
        </w:tc>
        <w:tc>
          <w:tcPr>
            <w:tcW w:w="3085" w:type="dxa"/>
          </w:tcPr>
          <w:p>
            <w:pPr/>
            <w:r>
              <w:t xml:space="preserve">92건</w:t>
            </w:r>
          </w:p>
        </w:tc>
        <w:tc>
          <w:tcPr>
            <w:tcW w:w="1237" w:type="dxa"/>
          </w:tcPr>
          <w:p>
            <w:pPr/>
            <w:r>
              <w:t xml:space="preserve">33.2%</w:t>
            </w:r>
          </w:p>
        </w:tc>
        <w:tc>
          <w:tcPr>
            <w:tcW w:w="1237" w:type="dxa"/>
          </w:tcPr>
          <w:p>
            <w:pPr/>
            <w:r>
              <w:t xml:space="preserve">66.4%</w:t>
            </w:r>
          </w:p>
        </w:tc>
      </w:tr>
      <w:tr>
        <w:tc>
          <w:tcPr>
            <w:tcW w:w="1955" w:type="dxa"/>
          </w:tcPr>
          <w:p>
            <w:pPr/>
            <w:r>
              <w:t xml:space="preserve">S</w:t>
            </w:r>
          </w:p>
        </w:tc>
        <w:tc>
          <w:tcPr>
            <w:tcW w:w="1844" w:type="dxa"/>
          </w:tcPr>
          <w:p>
            <w:pPr/>
            <w:r>
              <w:t xml:space="preserve">오토인코더</w:t>
            </w:r>
          </w:p>
        </w:tc>
        <w:tc>
          <w:tcPr>
            <w:tcW w:w="3085" w:type="dxa"/>
          </w:tcPr>
          <w:p>
            <w:pPr/>
            <w:r>
              <w:t xml:space="preserve">2,781건</w:t>
            </w:r>
          </w:p>
        </w:tc>
        <w:tc>
          <w:tcPr>
            <w:tcW w:w="1237" w:type="dxa"/>
          </w:tcPr>
          <w:p>
            <w:pPr/>
            <w:r>
              <w:t xml:space="preserve">91.8%</w:t>
            </w:r>
          </w:p>
        </w:tc>
        <w:tc>
          <w:tcPr>
            <w:tcW w:w="1237" w:type="dxa"/>
          </w:tcPr>
          <w:p>
            <w:pPr/>
            <w:r>
              <w:t xml:space="preserve">6.0%</w:t>
            </w:r>
          </w:p>
        </w:tc>
      </w:tr>
    </w:tbl>
    <w:p>
      <w:pPr/>
      <w:r>
        <w:t xml:space="preserve">LightGBM이 미관측 유형 거래 전체를 낮게 평가하기 때문에, 오토인코더 비중 20%로는 C·W의 거래가 전체 상위 10%에 들지 못하였다. 오토인코더 단독의 재현율은 높지만, S에서는 S 거래의 79%를 검토 대상에 올리고 정밀도가 기준선(5.2%)과 비슷하여, 사기가 아니라 유형 자체를 이상으로 본 것이다. C에서는 정밀도 28.6%로 기준선(13.4%)의 약 2.1배였다.</w:t>
      </w:r>
    </w:p>
    <w:p>
      <w:pPr>
        <w:pStyle w:val="Heading2"/>
      </w:pPr>
      <w:r>
        <w:t xml:space="preserve">6. 논의</w:t>
      </w:r>
    </w:p>
    <w:p>
      <w:pPr>
        <w:pStyle w:val="Heading3"/>
      </w:pPr>
      <w:r>
        <w:t xml:space="preserve">6.1 효과는 미관측 사기가 얼마나 새로운가에 달려 있다</w:t>
      </w:r>
    </w:p>
    <w:p>
      <w:pPr/>
      <w:r>
        <w:t xml:space="preserve">하이브리드가 유의하게 개선된 C와 W는 표 1에서 구조가 독특한 유형이었다. 이 두 유형에서는 상한선과 LightGBM의 격차도 컸다(C 0.757 대 0.321). 다른 유형에서 배운 사기 패턴이 통하지 않는 "정말 새로운" 사기였고, 여기서 정상 패턴만 아는 오토인코더가 보킬 정보가 있었다.</w:t>
      </w:r>
    </w:p>
    <w:p>
      <w:pPr/>
      <w:r>
        <w:t xml:space="preserve">반대로 R·H·S는 서로 구조가 비슷하여, 하나를 숨겨도 나머지 유형의 사기로 배운 패턴이 그대로 통하였다. 이 경우 미관측 사기는 사실상 "아는 사기의 변형"이므로 지도학습이 충분하고, 오토인코더는 잡음을 더하였다. 다만 유형이 5개뿐이므로 이 관계는 통계적 상관이 아니라 사례 수준의 관찰이다.</w:t>
      </w:r>
    </w:p>
    <w:p>
      <w:pPr>
        <w:pStyle w:val="Heading3"/>
      </w:pPr>
      <w:r>
        <w:t xml:space="preserve">6.2 순위화 개선과 운영 탐지는 다르다</w:t>
      </w:r>
    </w:p>
    <w:p>
      <w:pPr/>
      <w:r>
        <w:t xml:space="preserve">PR-AUC는 미관측 유형 거래만 모아 그 안의 순서를 평가하지만, 실제 운영은 모든 거래를 한 줄로 세워 위에서부터 검토한다. LightGBM이 미관측 유형 거래 전체를 낮게 보므로, 하이브리드가 그 안의 순서를 바로잡아도 전체 상위권에는 올라오지 못하였다. 따라서 본 연구의 결과는 "미관측 유형 내부의 사기 순위화가 개선된다"까지이며, "운영에서 미관측 사기를 더 많이 탐지한다"는 뒷받침하지 않는다.</w:t>
      </w:r>
    </w:p>
    <w:p>
      <w:pPr/>
      <w:r>
        <w:t xml:space="preserve">운영 효과를 얻으려면 가중 평균이 아닌 다른 결합 방식이 필요하다. 예를 들어 검토량의 일부를 오토인코더 상위 거래에 따로 배정하는 방식을 생각할 수 있다.</w:t>
      </w:r>
    </w:p>
    <w:p>
      <w:pPr>
        <w:pStyle w:val="Heading3"/>
      </w:pPr>
      <w:r>
        <w:t xml:space="preserve">6.3 오토인코더는 유형 자체를 이상으로 본다</w:t>
      </w:r>
    </w:p>
    <w:p>
      <w:pPr/>
      <w:r>
        <w:t xml:space="preserve">오토인코더의 이상 점수는 "다수인 W 거래와 다름"을 크게 반영하였다. S에서는 상위 10% 검토 대상에 S 거래의 79%를 올렸지만 정밀도는 기준선과 같아, 사기를 구분하지 못하였다. 따라서 오토인코더 단독의 높은 재현율을 탐지 능력으로 해석해서는 안 되며, 재현율은 정밀도와 함께 보고해야 한다. 유형별로 오토인코더를 따로 학습하거나 유형 안에서 이상 점수를 표준화하면 이 문제를 줄일 수 있을 것이다.</w:t>
      </w:r>
    </w:p>
    <w:p>
      <w:pPr>
        <w:pStyle w:val="Heading2"/>
      </w:pPr>
      <w:r>
        <w:t xml:space="preserve">7. 결론 및 한계</w:t>
      </w:r>
    </w:p>
    <w:p>
      <w:pPr/>
      <w:r>
        <w:t xml:space="preserve">오토인코더 기반 하이브리드는 기존 사기와 구조가 다른 미관측 사기에서 유형 내부 순위화 성능을 유의하게 높였다(C: PR-AUC +0.074). 그러나 관측 유형의 성능을 더 크게 내주었고, 고정 검토량 기준의 탐지율은 높이지 못하였다. 연구 질문에 대한 답은 다음과 같다.</w:t>
      </w:r>
    </w:p>
    <w:p>
      <w:pPr>
        <w:pStyle w:val="ListParagraph"/>
        <w:numPr>
          <w:ilvl w:val="0"/>
          <w:numId w:val="6"/>
        </w:numPr>
      </w:pPr>
      <w:r>
        <w:rPr>
          <w:b/>
        </w:rPr>
        <w:t xml:space="preserve">미관측 사기를 더 잘 탐지하는가:</w:t>
      </w:r>
      <w:r>
        <w:t xml:space="preserve"> 유형 내부 순위화는 C·W·R에서 유의하게 개선되었고 H에서는 약간 나빴졌으며 S에서는 차이가 없었다.</w:t>
      </w:r>
    </w:p>
    <w:p>
      <w:pPr>
        <w:pStyle w:val="ListParagraph"/>
        <w:numPr>
          <w:ilvl w:val="0"/>
          <w:numId w:val="6"/>
        </w:numPr>
      </w:pPr>
      <w:r>
        <w:rPr>
          <w:b/>
        </w:rPr>
        <w:t xml:space="preserve">어떤 유형에서, 어떤 대가로:</w:t>
      </w:r>
      <w:r>
        <w:t xml:space="preserve"> 효과는 구조가 독특한 유형에서 컸고, 관측 유형 PR-AUC는 w = 0.2에서 0.052 내려갔다.</w:t>
      </w:r>
    </w:p>
    <w:p>
      <w:pPr>
        <w:pStyle w:val="ListParagraph"/>
        <w:numPr>
          <w:ilvl w:val="0"/>
          <w:numId w:val="6"/>
        </w:numPr>
      </w:pPr>
      <w:r>
        <w:rPr>
          <w:b/>
        </w:rPr>
        <w:t xml:space="preserve">운영 탐지율로 이어지는가:</w:t>
      </w:r>
      <w:r>
        <w:t xml:space="preserve"> 가중 평균 결합에서는 이어지지 않았다.</w:t>
      </w:r>
    </w:p>
    <w:p>
      <w:pPr>
        <w:pStyle w:val="Heading3"/>
      </w:pPr>
      <w:r>
        <w:t xml:space="preserve">7.1 한계</w:t>
      </w:r>
    </w:p>
    <w:p>
      <w:pPr>
        <w:pStyle w:val="ListParagraph"/>
        <w:numPr>
          <w:ilvl w:val="0"/>
          <w:numId w:val="7"/>
        </w:numPr>
      </w:pPr>
      <w:r>
        <w:rPr>
          <w:b/>
        </w:rPr>
        <w:t xml:space="preserve">단일 데이터셋:</w:t>
      </w:r>
      <w:r>
        <w:t xml:space="preserve"> IEEE-CIS 하나만 사용하였다. 다른 공개 데이터(예: 유럽 카드 거래 데이터[9])는 상품 유형 정보가 없어 같은 설계를 적용하기 어렵다.</w:t>
      </w:r>
    </w:p>
    <w:p>
      <w:pPr>
        <w:pStyle w:val="ListParagraph"/>
        <w:numPr>
          <w:ilvl w:val="0"/>
          <w:numId w:val="7"/>
        </w:numPr>
      </w:pPr>
      <w:r>
        <w:rPr>
          <w:b/>
        </w:rPr>
        <w:t xml:space="preserve">유형 5개:</w:t>
      </w:r>
      <w:r>
        <w:t xml:space="preserve"> 구조적 차이와 효과의 관계는 사례 수준이다.</w:t>
      </w:r>
    </w:p>
    <w:p>
      <w:pPr>
        <w:pStyle w:val="ListParagraph"/>
        <w:numPr>
          <w:ilvl w:val="0"/>
          <w:numId w:val="7"/>
        </w:numPr>
      </w:pPr>
      <w:r>
        <w:rPr>
          <w:b/>
        </w:rPr>
        <w:t xml:space="preserve">간접적 지름길:</w:t>
      </w:r>
      <w:r>
        <w:t xml:space="preserve"> ProductCD를 제외해도 금액의 센트 여부, 기기 정보 유무 등으로 유형을 추론할 수 있다.</w:t>
      </w:r>
    </w:p>
    <w:p>
      <w:pPr>
        <w:pStyle w:val="ListParagraph"/>
        <w:numPr>
          <w:ilvl w:val="0"/>
          <w:numId w:val="7"/>
        </w:numPr>
      </w:pPr>
      <w:r>
        <w:rPr>
          <w:b/>
        </w:rPr>
        <w:t xml:space="preserve">사후 설정:</w:t>
      </w:r>
      <w:r>
        <w:t xml:space="preserve"> 대표 가중치 w = 0.2는 사전 실행 후 정하였다. 또한 결합 방식 × 유형 × 지표의 비교가 많아 일부는 우연히 유의할 수 있다.</w:t>
      </w:r>
    </w:p>
    <w:p>
      <w:pPr>
        <w:pStyle w:val="ListParagraph"/>
        <w:numPr>
          <w:ilvl w:val="0"/>
          <w:numId w:val="7"/>
        </w:numPr>
      </w:pPr>
      <w:r>
        <w:rPr>
          <w:b/>
        </w:rPr>
        <w:t xml:space="preserve">신뢰구간의 범위:</w:t>
      </w:r>
      <w:r>
        <w:t xml:space="preserve"> 부트스트랩은 test 표본의 변동만 반영하며, 학습 seed의 변동은 3개의 평균으로만 다루었다.</w:t>
      </w:r>
    </w:p>
    <w:p>
      <w:pPr>
        <w:pStyle w:val="ListParagraph"/>
        <w:numPr>
          <w:ilvl w:val="0"/>
          <w:numId w:val="7"/>
        </w:numPr>
      </w:pPr>
      <w:r>
        <w:rPr>
          <w:b/>
        </w:rPr>
        <w:t xml:space="preserve">비교 대상:</w:t>
      </w:r>
      <w:r>
        <w:t xml:space="preserve"> Isolation Forest 등 다른 이상 탐지 방법과 비교하지 않았다.</w:t>
      </w:r>
    </w:p>
    <w:p>
      <w:pPr>
        <w:pStyle w:val="Heading3"/>
      </w:pPr>
      <w:r>
        <w:t xml:space="preserve">7.2 향후 연구</w:t>
      </w:r>
    </w:p>
    <w:p>
      <w:pPr/>
      <w:r>
        <w:t xml:space="preserve">검토량을 나눠 쓰는 결합 방식, 유형별 이상 점수 표준화, 다른 이상 탐지 방법과의 비교, 추가 데이터셋에서의 검증이 필요하다.</w:t>
      </w:r>
    </w:p>
    <w:p>
      <w:pPr>
        <w:pStyle w:val="Heading2"/>
      </w:pPr>
      <w:r>
        <w:t xml:space="preserve">부록 A. 지름길 점검: ProductCD 포함 대 제외</w:t>
      </w:r>
    </w:p>
    <w:p>
      <w:pPr/>
      <w:r>
        <w:t xml:space="preserve">ProductCD를 입력에 포함하면 LightGBM이 "숨긴 유형 = 정상"이라는 지름길을 배웠고, 이를 제외해도 C의 핵심 결과는 유지되었다.</w:t>
      </w:r>
    </w:p>
    <w:p>
      <w:pPr/>
      <w:r>
        <w:t xml:space="preserve">표 A1. 미관측 유형 PR-AUC: ProductCD 포함과 제외 (하이브리드 w = 0.2)</w:t>
      </w:r>
    </w:p>
    <w:tbl>
      <w:tblPr>
        <w:tblStyle w:val="TableGrid"/>
        <w:tblW w:w="0" w:type="auto"/>
        <w:tblLayout w:type="fixed"/>
        <w:tblLook w:val="04A0" w:firstRow="1" w:lastRow="0" w:firstColumn="0" w:lastColumn="0" w:noHBand="0" w:noVBand="1"/>
      </w:tblPr>
      <w:tblGrid>
        <w:gridCol w:w="1416"/>
        <w:gridCol w:w="1476"/>
        <w:gridCol w:w="2189"/>
        <w:gridCol w:w="2165"/>
        <w:gridCol w:w="2114"/>
      </w:tblGrid>
      <w:tr>
        <w:trPr>
          <w:tblHeader/>
        </w:trPr>
        <w:tc>
          <w:tcPr>
            <w:tcW w:w="1416" w:type="dxa"/>
            <w:shd w:val="clear" w:color="auto" w:fill="F2F2F2"/>
          </w:tcPr>
          <w:p>
            <w:pPr/>
            <w:r>
              <w:t xml:space="preserve">미관측 유형</w:t>
            </w:r>
          </w:p>
        </w:tc>
        <w:tc>
          <w:tcPr>
            <w:tcW w:w="1476" w:type="dxa"/>
            <w:shd w:val="clear" w:color="auto" w:fill="F2F2F2"/>
          </w:tcPr>
          <w:p>
            <w:pPr/>
            <w:r>
              <w:t xml:space="preserve">LightGBM 포함 → 제외</w:t>
            </w:r>
          </w:p>
        </w:tc>
        <w:tc>
          <w:tcPr>
            <w:tcW w:w="2189" w:type="dxa"/>
            <w:shd w:val="clear" w:color="auto" w:fill="F2F2F2"/>
          </w:tcPr>
          <w:p>
            <w:pPr/>
            <w:r>
              <w:t xml:space="preserve">차이 (제외 − 포함) [95% CI]</w:t>
            </w:r>
          </w:p>
        </w:tc>
        <w:tc>
          <w:tcPr>
            <w:tcW w:w="2165" w:type="dxa"/>
            <w:shd w:val="clear" w:color="auto" w:fill="F2F2F2"/>
          </w:tcPr>
          <w:p>
            <w:pPr/>
            <w:r>
              <w:t xml:space="preserve">하이브리드 개선폭: 포함</w:t>
            </w:r>
          </w:p>
        </w:tc>
        <w:tc>
          <w:tcPr>
            <w:tcW w:w="2114" w:type="dxa"/>
            <w:shd w:val="clear" w:color="auto" w:fill="F2F2F2"/>
          </w:tcPr>
          <w:p>
            <w:pPr/>
            <w:r>
              <w:t xml:space="preserve">하이브리드 개선폭: 제외</w:t>
            </w:r>
          </w:p>
        </w:tc>
      </w:tr>
      <w:tr>
        <w:tc>
          <w:tcPr>
            <w:tcW w:w="1416" w:type="dxa"/>
          </w:tcPr>
          <w:p>
            <w:pPr/>
            <w:r>
              <w:t xml:space="preserve">W</w:t>
            </w:r>
          </w:p>
        </w:tc>
        <w:tc>
          <w:tcPr>
            <w:tcW w:w="1476" w:type="dxa"/>
          </w:tcPr>
          <w:p>
            <w:pPr/>
            <w:r>
              <w:t xml:space="preserve">0.022 → 0.022</w:t>
            </w:r>
          </w:p>
        </w:tc>
        <w:tc>
          <w:tcPr>
            <w:tcW w:w="2189" w:type="dxa"/>
          </w:tcPr>
          <w:p>
            <w:pPr/>
            <w:r>
              <w:t xml:space="preserve">−0.001 [−0.001, +0.000]</w:t>
            </w:r>
          </w:p>
        </w:tc>
        <w:tc>
          <w:tcPr>
            <w:tcW w:w="2165" w:type="dxa"/>
          </w:tcPr>
          <w:p>
            <w:pPr/>
            <w:r>
              <w:t xml:space="preserve">+0.007 [+0.006, +0.009]</w:t>
            </w:r>
          </w:p>
        </w:tc>
        <w:tc>
          <w:tcPr>
            <w:tcW w:w="2114" w:type="dxa"/>
          </w:tcPr>
          <w:p>
            <w:pPr/>
            <w:r>
              <w:t xml:space="preserve">+0.005 [+0.004, +0.006]</w:t>
            </w:r>
          </w:p>
        </w:tc>
      </w:tr>
      <w:tr>
        <w:tc>
          <w:tcPr>
            <w:tcW w:w="1416" w:type="dxa"/>
          </w:tcPr>
          <w:p>
            <w:pPr/>
            <w:r>
              <w:t xml:space="preserve">C</w:t>
            </w:r>
          </w:p>
        </w:tc>
        <w:tc>
          <w:tcPr>
            <w:tcW w:w="1476" w:type="dxa"/>
          </w:tcPr>
          <w:p>
            <w:pPr/>
            <w:r>
              <w:t xml:space="preserve">0.301 → 0.321</w:t>
            </w:r>
          </w:p>
        </w:tc>
        <w:tc>
          <w:tcPr>
            <w:tcW w:w="2189" w:type="dxa"/>
          </w:tcPr>
          <w:p>
            <w:pPr/>
            <w:r>
              <w:t xml:space="preserve">+0.021 [+0.015, +0.026]</w:t>
            </w:r>
          </w:p>
        </w:tc>
        <w:tc>
          <w:tcPr>
            <w:tcW w:w="2165" w:type="dxa"/>
          </w:tcPr>
          <w:p>
            <w:pPr/>
            <w:r>
              <w:t xml:space="preserve">+0.085 [+0.075, +0.096]</w:t>
            </w:r>
          </w:p>
        </w:tc>
        <w:tc>
          <w:tcPr>
            <w:tcW w:w="2114" w:type="dxa"/>
          </w:tcPr>
          <w:p>
            <w:pPr/>
            <w:r>
              <w:t xml:space="preserve">+0.074 [+0.064, +0.083]</w:t>
            </w:r>
          </w:p>
        </w:tc>
      </w:tr>
      <w:tr>
        <w:tc>
          <w:tcPr>
            <w:tcW w:w="1416" w:type="dxa"/>
          </w:tcPr>
          <w:p>
            <w:pPr/>
            <w:r>
              <w:t xml:space="preserve">R</w:t>
            </w:r>
          </w:p>
        </w:tc>
        <w:tc>
          <w:tcPr>
            <w:tcW w:w="1476" w:type="dxa"/>
          </w:tcPr>
          <w:p>
            <w:pPr/>
            <w:r>
              <w:t xml:space="preserve">0.743 → 0.704</w:t>
            </w:r>
          </w:p>
        </w:tc>
        <w:tc>
          <w:tcPr>
            <w:tcW w:w="2189" w:type="dxa"/>
          </w:tcPr>
          <w:p>
            <w:pPr/>
            <w:r>
              <w:t xml:space="preserve">−0.038 [−0.058, −0.020]</w:t>
            </w:r>
          </w:p>
        </w:tc>
        <w:tc>
          <w:tcPr>
            <w:tcW w:w="2165" w:type="dxa"/>
          </w:tcPr>
          <w:p>
            <w:pPr/>
            <w:r>
              <w:t xml:space="preserve">−0.017 [−0.029, −0.007]</w:t>
            </w:r>
          </w:p>
        </w:tc>
        <w:tc>
          <w:tcPr>
            <w:tcW w:w="2114" w:type="dxa"/>
          </w:tcPr>
          <w:p>
            <w:pPr/>
            <w:r>
              <w:t xml:space="preserve">+0.014 [+0.003, +0.027]</w:t>
            </w:r>
          </w:p>
        </w:tc>
      </w:tr>
      <w:tr>
        <w:tc>
          <w:tcPr>
            <w:tcW w:w="1416" w:type="dxa"/>
          </w:tcPr>
          <w:p>
            <w:pPr/>
            <w:r>
              <w:t xml:space="preserve">H</w:t>
            </w:r>
          </w:p>
        </w:tc>
        <w:tc>
          <w:tcPr>
            <w:tcW w:w="1476" w:type="dxa"/>
          </w:tcPr>
          <w:p>
            <w:pPr/>
            <w:r>
              <w:t xml:space="preserve">0.504 → 0.528</w:t>
            </w:r>
          </w:p>
        </w:tc>
        <w:tc>
          <w:tcPr>
            <w:tcW w:w="2189" w:type="dxa"/>
          </w:tcPr>
          <w:p>
            <w:pPr/>
            <w:r>
              <w:t xml:space="preserve">+0.024 [+0.006, +0.040]</w:t>
            </w:r>
          </w:p>
        </w:tc>
        <w:tc>
          <w:tcPr>
            <w:tcW w:w="2165" w:type="dxa"/>
          </w:tcPr>
          <w:p>
            <w:pPr/>
            <w:r>
              <w:t xml:space="preserve">−0.033 [−0.046, −0.019]</w:t>
            </w:r>
          </w:p>
        </w:tc>
        <w:tc>
          <w:tcPr>
            <w:tcW w:w="2114" w:type="dxa"/>
          </w:tcPr>
          <w:p>
            <w:pPr/>
            <w:r>
              <w:t xml:space="preserve">−0.009 [−0.017, −0.001]</w:t>
            </w:r>
          </w:p>
        </w:tc>
      </w:tr>
      <w:tr>
        <w:tc>
          <w:tcPr>
            <w:tcW w:w="1416" w:type="dxa"/>
          </w:tcPr>
          <w:p>
            <w:pPr/>
            <w:r>
              <w:t xml:space="preserve">S</w:t>
            </w:r>
          </w:p>
        </w:tc>
        <w:tc>
          <w:tcPr>
            <w:tcW w:w="1476" w:type="dxa"/>
          </w:tcPr>
          <w:p>
            <w:pPr/>
            <w:r>
              <w:t xml:space="preserve">0.359 → 0.397</w:t>
            </w:r>
          </w:p>
        </w:tc>
        <w:tc>
          <w:tcPr>
            <w:tcW w:w="2189" w:type="dxa"/>
          </w:tcPr>
          <w:p>
            <w:pPr/>
            <w:r>
              <w:t xml:space="preserve">+0.038 [+0.020, +0.058]</w:t>
            </w:r>
          </w:p>
        </w:tc>
        <w:tc>
          <w:tcPr>
            <w:tcW w:w="2165" w:type="dxa"/>
          </w:tcPr>
          <w:p>
            <w:pPr/>
            <w:r>
              <w:t xml:space="preserve">−0.002 [−0.008, +0.002]</w:t>
            </w:r>
          </w:p>
        </w:tc>
        <w:tc>
          <w:tcPr>
            <w:tcW w:w="2114" w:type="dxa"/>
          </w:tcPr>
          <w:p>
            <w:pPr/>
            <w:r>
              <w:t xml:space="preserve">+0.001 [−0.004, +0.007]</w:t>
            </w:r>
          </w:p>
        </w:tc>
      </w:tr>
    </w:tbl>
    <w:p>
      <w:pPr/>
      <w:r>
        <w:t xml:space="preserve">ProductCD를 제외하자 C·H·S에서 LightGBM의 PR-AUC가 유의하게 올랐고, 미관측 유형의 상위 10% 재현율 평균은 0.119에서 0.249로 약 2배가 되었다. 숨긴 유형의 거래 전체가 순위 뒤쪽으로 밀려 있었던 것이다. 반면 R에서는 제외 시 오히려 낮아졌다.</w:t>
      </w:r>
    </w:p>
    <w:p>
      <w:pPr>
        <w:pStyle w:val="Heading2"/>
      </w:pPr>
      <w:r>
        <w:t xml:space="preserve">부록 B. 재현 정보</w:t>
      </w:r>
    </w:p>
    <w:tbl>
      <w:tblPr>
        <w:tblStyle w:val="TableGrid"/>
        <w:tblW w:w="0" w:type="auto"/>
        <w:tblLayout w:type="fixed"/>
        <w:tblLook w:val="04A0" w:firstRow="1" w:lastRow="0" w:firstColumn="0" w:lastColumn="0" w:noHBand="0" w:noVBand="1"/>
      </w:tblPr>
      <w:tblGrid>
        <w:gridCol w:w="2850"/>
        <w:gridCol w:w="6509"/>
      </w:tblGrid>
      <w:tr>
        <w:trPr>
          <w:tblHeader/>
        </w:trPr>
        <w:tc>
          <w:tcPr>
            <w:tcW w:w="2850" w:type="dxa"/>
            <w:shd w:val="clear" w:color="auto" w:fill="F2F2F2"/>
          </w:tcPr>
          <w:p>
            <w:pPr/>
            <w:r>
              <w:t xml:space="preserve">항목</w:t>
            </w:r>
          </w:p>
        </w:tc>
        <w:tc>
          <w:tcPr>
            <w:tcW w:w="6509" w:type="dxa"/>
            <w:shd w:val="clear" w:color="auto" w:fill="F2F2F2"/>
          </w:tcPr>
          <w:p>
            <w:pPr/>
            <w:r>
              <w:t xml:space="preserve">내용</w:t>
            </w:r>
          </w:p>
        </w:tc>
      </w:tr>
      <w:tr>
        <w:tc>
          <w:tcPr>
            <w:tcW w:w="2850" w:type="dxa"/>
          </w:tcPr>
          <w:p>
            <w:pPr/>
            <w:r>
              <w:t xml:space="preserve">데이터</w:t>
            </w:r>
          </w:p>
        </w:tc>
        <w:tc>
          <w:tcPr>
            <w:tcW w:w="6509" w:type="dxa"/>
          </w:tcPr>
          <w:p>
            <w:pPr/>
            <w:r>
              <w:t xml:space="preserve">Kaggle IEEE-CIS Fraud Detection, train_transaction.csv + train_identity.csv</w:t>
            </w:r>
          </w:p>
        </w:tc>
      </w:tr>
      <w:tr>
        <w:tc>
          <w:tcPr>
            <w:tcW w:w="2850" w:type="dxa"/>
          </w:tcPr>
          <w:p>
            <w:pPr/>
            <w:r>
              <w:t xml:space="preserve">전처리</w:t>
            </w:r>
          </w:p>
        </w:tc>
        <w:tc>
          <w:tcPr>
            <w:tcW w:w="6509" w:type="dxa"/>
          </w:tcPr>
          <w:p>
            <w:pPr/>
            <w:r>
              <w:t xml:space="preserve">preprocessing.py (tree / nn 버전, meta.json)</w:t>
            </w:r>
          </w:p>
        </w:tc>
      </w:tr>
      <w:tr>
        <w:tc>
          <w:tcPr>
            <w:tcW w:w="2850" w:type="dxa"/>
          </w:tcPr>
          <w:p>
            <w:pPr/>
            <w:r>
              <w:t xml:space="preserve">실험</w:t>
            </w:r>
          </w:p>
        </w:tc>
        <w:tc>
          <w:tcPr>
            <w:tcW w:w="6509" w:type="dxa"/>
          </w:tcPr>
          <w:p>
            <w:pPr/>
            <w:r>
              <w:t xml:space="preserve">experiment_unseen.py (유형 제외 학습, 평가, 부트스트랩)</w:t>
            </w:r>
          </w:p>
        </w:tc>
      </w:tr>
      <w:tr>
        <w:tc>
          <w:tcPr>
            <w:tcW w:w="2850" w:type="dxa"/>
          </w:tcPr>
          <w:p>
            <w:pPr/>
            <w:r>
              <w:t xml:space="preserve">범주형 기준값 실험</w:t>
            </w:r>
          </w:p>
        </w:tc>
        <w:tc>
          <w:tcPr>
            <w:tcW w:w="6509" w:type="dxa"/>
          </w:tcPr>
          <w:p>
            <w:pPr/>
            <w:r>
              <w:t xml:space="preserve">tune_lgbm_categories.py</w:t>
            </w:r>
          </w:p>
        </w:tc>
      </w:tr>
      <w:tr>
        <w:tc>
          <w:tcPr>
            <w:tcW w:w="2850" w:type="dxa"/>
          </w:tcPr>
          <w:p>
            <w:pPr/>
            <w:r>
              <w:t xml:space="preserve">도구</w:t>
            </w:r>
          </w:p>
        </w:tc>
        <w:tc>
          <w:tcPr>
            <w:tcW w:w="6509" w:type="dxa"/>
          </w:tcPr>
          <w:p>
            <w:pPr/>
            <w:r>
              <w:t xml:space="preserve">Python 3.11, LightGBM 4.7.0, scikit-learn 1.9.1, PyTorch 2.5.1 (CPU)</w:t>
            </w:r>
          </w:p>
        </w:tc>
      </w:tr>
      <w:tr>
        <w:tc>
          <w:tcPr>
            <w:tcW w:w="2850" w:type="dxa"/>
          </w:tcPr>
          <w:p>
            <w:pPr/>
            <w:r>
              <w:t xml:space="preserve">재현성</w:t>
            </w:r>
          </w:p>
        </w:tc>
        <w:tc>
          <w:tcPr>
            <w:tcW w:w="6509" w:type="dxa"/>
          </w:tcPr>
          <w:p>
            <w:pPr/>
            <w:r>
              <w:t xml:space="preserve">LightGBM deterministic 설정, seed 42 / 7 / 2024, 부트스트랩 1,000회(난수 시드 0)</w:t>
            </w:r>
          </w:p>
        </w:tc>
      </w:tr>
      <w:tr>
        <w:tc>
          <w:tcPr>
            <w:tcW w:w="2850" w:type="dxa"/>
          </w:tcPr>
          <w:p>
            <w:pPr/>
            <w:r>
              <w:t xml:space="preserve">실행 시간</w:t>
            </w:r>
          </w:p>
        </w:tc>
        <w:tc>
          <w:tcPr>
            <w:tcW w:w="6509" w:type="dxa"/>
          </w:tcPr>
          <w:p>
            <w:pPr/>
            <w:r>
              <w:t xml:space="preserve">전체 실험 약 51분 + ProductCD 제외 LightGBM 약 14분 (CPU 12스레드)</w:t>
            </w:r>
          </w:p>
        </w:tc>
      </w:tr>
    </w:tbl>
    <w:p>
      <w:pPr>
        <w:pStyle w:val="Heading2"/>
      </w:pPr>
      <w:r>
        <w:t xml:space="preserve">참 고 문 헌</w:t>
      </w:r>
    </w:p>
    <w:p>
      <w:pPr/>
      <w:r>
        <w:t xml:space="preserve">[1] G. Ke, Q. Meng, T. Finley, T. Wang, W. Chen, W. Ma, Q. Ye and T.-Y. Liu, "LightGBM: A Highly Efficient Gradient Boosting Decision Tree," In Advances in Neural Information Processing Systems 30, 2017.</w:t>
      </w:r>
    </w:p>
    <w:p>
      <w:pPr/>
      <w:r>
        <w:t xml:space="preserve">[2] IEEE Computational Intelligence Society and Vesta Corporation, "IEEE-CIS Fraud Detection," Kaggle Competition, 2019. </w:t>
      </w:r>
      <w:hyperlink r:id="rId4" w:history="1">
        <w:r>
          <w:rPr>
            <w:rStyle w:val="Hyperlink"/>
          </w:rPr>
          <w:t xml:space="preserve">https://www.kaggle.com/competitions/ieee-fraud-detection</w:t>
        </w:r>
      </w:hyperlink>
    </w:p>
    <w:p>
      <w:pPr/>
      <w:r>
        <w:t xml:space="preserve">[3] G. E. Hinton and R. R. Salakhutdinov, "Reducing the Dimensionality of Data with Neural Networks," Science, Vol. 313, No. 5786, pp. 504-507, 2006.</w:t>
      </w:r>
    </w:p>
    <w:p>
      <w:pPr/>
      <w:r>
        <w:t xml:space="preserve">[4] G. Pang, C. Shen, L. Cao and A. van den Hengel, "Deep Learning for Anomaly Detection: A Review," ACM Computing Surveys, Vol. 54, No. 2, pp. 1-38, 2021.</w:t>
      </w:r>
    </w:p>
    <w:p>
      <w:pPr/>
      <w:r>
        <w:t xml:space="preserve">[5] F. T. Liu, K. M. Ting and Z.-H. Zhou, "Isolation Forest," In Proc. of the IEEE International Conference on Data Mining, 2008.</w:t>
      </w:r>
    </w:p>
    <w:p>
      <w:pPr/>
      <w:r>
        <w:t xml:space="preserve">[6] R. Geirhos, J.-H. Jacobsen, C. Michaelis, R. Zemel, W. Brendel, M. Bethge and F. A. Wichmann, "Shortcut Learning in Deep Neural Networks," Nature Machine Intelligence, Vol. 2, pp. 665-673, 2020.</w:t>
      </w:r>
    </w:p>
    <w:p>
      <w:pPr/>
      <w:r>
        <w:t xml:space="preserve">[7] T. Saito and M. Rehmsmeier, "The Precision-Recall Plot Is More Informative than the ROC Plot When Evaluating Binary Classifiers on Imbalanced Datasets," PLoS ONE, Vol. 10, No. 3, e0118432, 2015.</w:t>
      </w:r>
    </w:p>
    <w:p>
      <w:pPr/>
      <w:r>
        <w:t xml:space="preserve">[8] B. Efron and R. J. Tibshirani, An Introduction to the Bootstrap, Chapman &amp; Hall, 1993.</w:t>
      </w:r>
    </w:p>
    <w:p>
      <w:pPr/>
      <w:r>
        <w:t xml:space="preserve">[9] A. Dal Pozzolo, O. Caelen, R. A. Johnson and G. Bontempi, "Calibrating Probability with Undersampling for Unbalanced Classification," In Proc. of the IEEE Symposium Series on Computational Intelligence, 2015.</w:t>
      </w:r>
    </w:p>
    <w:p>
      <w:pPr>
        <w:pStyle w:val="Heading2"/>
      </w:pPr>
      <w:r>
        <w:t xml:space="preserve">저자 소개</w:t>
      </w:r>
    </w:p>
    <w:p>
      <w:pPr/>
      <w:r>
        <w:rPr>
          <w:b/>
        </w:rPr>
        <w:t xml:space="preserve">오 유 미</w:t>
      </w:r>
    </w:p>
    <w:p>
      <w:pPr/>
      <w:r>
        <w:t xml:space="preserve">방송통신대학원 정보과학과. 학력과 관심분야는 추가 필요.</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kaggle.com/competitions/ieee-fraud-detectio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미관측 유형 사기에 대한 오토인코더 기반 하이브리드 모델의 효과 검증</dc:title>
  <dc:description>Claude Docs node/a457a2ec-e943@36 docx-w7</dc:description>
  <cp:revision>36</cp:revision>
</cp:coreProperties>
</file>